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76E2" w14:textId="77777777" w:rsidR="005178B8" w:rsidRPr="00CD64F8" w:rsidRDefault="005178B8" w:rsidP="006863DA">
      <w:pPr>
        <w:spacing w:line="20" w:lineRule="exact"/>
        <w:rPr>
          <w:sz w:val="18"/>
          <w:szCs w:val="18"/>
        </w:rPr>
      </w:pPr>
    </w:p>
    <w:tbl>
      <w:tblPr>
        <w:tblStyle w:val="Tabel-Gitter"/>
        <w:tblpPr w:vertAnchor="page" w:horzAnchor="page" w:tblpX="8336"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Dokumentinformation"/>
        <w:tblDescription w:val="Dokumentinformation"/>
      </w:tblPr>
      <w:tblGrid>
        <w:gridCol w:w="2041"/>
      </w:tblGrid>
      <w:tr w:rsidR="005178B8" w:rsidRPr="00CD64F8" w14:paraId="020F433C" w14:textId="77777777" w:rsidTr="00732EF5">
        <w:trPr>
          <w:trHeight w:val="1418"/>
        </w:trPr>
        <w:tc>
          <w:tcPr>
            <w:tcW w:w="2041" w:type="dxa"/>
          </w:tcPr>
          <w:p w14:paraId="7C0CAB24" w14:textId="77777777" w:rsidR="002A75EC" w:rsidRPr="00CD64F8" w:rsidRDefault="002A75EC" w:rsidP="002A75EC">
            <w:pPr>
              <w:pStyle w:val="DokInfo"/>
              <w:rPr>
                <w:caps/>
                <w:spacing w:val="15"/>
                <w:sz w:val="14"/>
              </w:rPr>
            </w:pPr>
            <w:r w:rsidRPr="00CD64F8">
              <w:rPr>
                <w:caps/>
                <w:spacing w:val="15"/>
                <w:sz w:val="14"/>
              </w:rPr>
              <w:t>Dato</w:t>
            </w:r>
          </w:p>
          <w:p w14:paraId="0D0E8BA0" w14:textId="02C9DA5E" w:rsidR="005178B8" w:rsidRPr="00CD64F8" w:rsidRDefault="0076435E" w:rsidP="002A75EC">
            <w:pPr>
              <w:pStyle w:val="DokInfo"/>
            </w:pPr>
            <w:r>
              <w:t>20</w:t>
            </w:r>
            <w:r w:rsidR="001E5BCB" w:rsidRPr="00CD64F8">
              <w:t xml:space="preserve">. </w:t>
            </w:r>
            <w:r>
              <w:t>juni</w:t>
            </w:r>
            <w:r w:rsidR="002A75EC" w:rsidRPr="00CD64F8">
              <w:t xml:space="preserve"> 2024</w:t>
            </w:r>
          </w:p>
        </w:tc>
      </w:tr>
    </w:tbl>
    <w:p w14:paraId="1E92FA90" w14:textId="77777777" w:rsidR="00B210FA" w:rsidRPr="00CD64F8" w:rsidRDefault="00B210FA" w:rsidP="00F177AC">
      <w:pPr>
        <w:spacing w:line="20" w:lineRule="atLeast"/>
      </w:pPr>
    </w:p>
    <w:p w14:paraId="07A32EC6" w14:textId="77777777" w:rsidR="00B210FA" w:rsidRPr="00CD64F8" w:rsidRDefault="00B210FA" w:rsidP="00B210FA">
      <w:pPr>
        <w:spacing w:line="20" w:lineRule="exact"/>
      </w:pPr>
      <w:r w:rsidRPr="00CD64F8">
        <w:rPr>
          <w:noProof/>
          <w:sz w:val="24"/>
          <w:szCs w:val="24"/>
        </w:rPr>
        <mc:AlternateContent>
          <mc:Choice Requires="wps">
            <w:drawing>
              <wp:anchor distT="0" distB="0" distL="114300" distR="114300" simplePos="0" relativeHeight="251663360" behindDoc="0" locked="1" layoutInCell="1" allowOverlap="1" wp14:anchorId="299F6D3F" wp14:editId="642ED3D7">
                <wp:simplePos x="0" y="0"/>
                <wp:positionH relativeFrom="column">
                  <wp:posOffset>0</wp:posOffset>
                </wp:positionH>
                <wp:positionV relativeFrom="page">
                  <wp:posOffset>9649460</wp:posOffset>
                </wp:positionV>
                <wp:extent cx="2200320" cy="649080"/>
                <wp:effectExtent l="0" t="0" r="9525" b="0"/>
                <wp:wrapNone/>
                <wp:docPr id="6" name="SenderLeft" descr="Sagsansvarlig: Økonomistaben&#10;Økonomi&#10;Telefon, direkt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200320" cy="649080"/>
                        </a:xfrm>
                        <a:prstGeom prst="rect">
                          <a:avLst/>
                        </a:prstGeom>
                        <a:solidFill>
                          <a:schemeClr val="bg1"/>
                        </a:solidFill>
                        <a:ln w="6350">
                          <a:noFill/>
                        </a:ln>
                      </wps:spPr>
                      <wps:txbx>
                        <w:txbxContent>
                          <w:p w14:paraId="1D2F99C5" w14:textId="77777777" w:rsidR="00B210FA" w:rsidRPr="002A75EC" w:rsidRDefault="00B210FA" w:rsidP="00B210FA">
                            <w:pPr>
                              <w:pStyle w:val="AfsenderMedAfstandEfter"/>
                              <w:suppressOverlap/>
                            </w:pPr>
                            <w:r w:rsidRPr="002A75EC">
                              <w:t>Sagsansvarlig:</w:t>
                            </w:r>
                          </w:p>
                          <w:p w14:paraId="462ADDDA" w14:textId="77777777" w:rsidR="002A75EC" w:rsidRPr="002A75EC" w:rsidRDefault="002A75EC" w:rsidP="002A75EC">
                            <w:pPr>
                              <w:pStyle w:val="AfsenderMedAfstandEfter"/>
                              <w:suppressOverlap/>
                            </w:pPr>
                            <w:r w:rsidRPr="002A75EC">
                              <w:t>Økonomistaben</w:t>
                            </w:r>
                          </w:p>
                          <w:p w14:paraId="758DD261" w14:textId="77777777" w:rsidR="00B210FA" w:rsidRPr="002A75EC" w:rsidRDefault="002A75EC" w:rsidP="002A75EC">
                            <w:pPr>
                              <w:pStyle w:val="AfsenderMedAfstandEfter"/>
                              <w:suppressOverlap/>
                            </w:pPr>
                            <w:r w:rsidRPr="002A75EC">
                              <w:t>Økonomi</w:t>
                            </w:r>
                          </w:p>
                          <w:p w14:paraId="5CCCB970" w14:textId="77777777" w:rsidR="00B210FA" w:rsidRPr="002A75EC" w:rsidRDefault="00B210FA" w:rsidP="00B210FA">
                            <w:pPr>
                              <w:pStyle w:val="Afsen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F6D3F" id="_x0000_t202" coordsize="21600,21600" o:spt="202" path="m,l,21600r21600,l21600,xe">
                <v:stroke joinstyle="miter"/>
                <v:path gradientshapeok="t" o:connecttype="rect"/>
              </v:shapetype>
              <v:shape id="SenderLeft" o:spid="_x0000_s1026" type="#_x0000_t202" alt="Sagsansvarlig: Økonomistaben&#10;Økonomi&#10;Telefon, direkte: " style="position:absolute;margin-left:0;margin-top:759.8pt;width:173.25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" fillcolor="white [3212]" stroked="f" strokeweight=".5pt">
                <v:textbox inset="0,0,0,0">
                  <w:txbxContent>
                    <w:p w14:paraId="1D2F99C5" w14:textId="77777777" w:rsidR="00B210FA" w:rsidRPr="002A75EC" w:rsidRDefault="00B210FA" w:rsidP="00B210FA">
                      <w:pPr>
                        <w:pStyle w:val="AfsenderMedAfstandEfter"/>
                        <w:suppressOverlap/>
                      </w:pPr>
                      <w:r w:rsidRPr="002A75EC">
                        <w:t>Sagsansvarlig:</w:t>
                      </w:r>
                    </w:p>
                    <w:p w14:paraId="462ADDDA" w14:textId="77777777" w:rsidR="002A75EC" w:rsidRPr="002A75EC" w:rsidRDefault="002A75EC" w:rsidP="002A75EC">
                      <w:pPr>
                        <w:pStyle w:val="AfsenderMedAfstandEfter"/>
                        <w:suppressOverlap/>
                      </w:pPr>
                      <w:r w:rsidRPr="002A75EC">
                        <w:t>Økonomistaben</w:t>
                      </w:r>
                    </w:p>
                    <w:p w14:paraId="758DD261" w14:textId="77777777" w:rsidR="00B210FA" w:rsidRPr="002A75EC" w:rsidRDefault="002A75EC" w:rsidP="002A75EC">
                      <w:pPr>
                        <w:pStyle w:val="AfsenderMedAfstandEfter"/>
                        <w:suppressOverlap/>
                      </w:pPr>
                      <w:r w:rsidRPr="002A75EC">
                        <w:t>Økonomi</w:t>
                      </w:r>
                    </w:p>
                    <w:p w14:paraId="5CCCB970" w14:textId="77777777" w:rsidR="00B210FA" w:rsidRPr="002A75EC" w:rsidRDefault="00B210FA" w:rsidP="00B210FA">
                      <w:pPr>
                        <w:pStyle w:val="Afsender"/>
                      </w:pPr>
                    </w:p>
                  </w:txbxContent>
                </v:textbox>
                <w10:wrap anchory="page"/>
                <w10:anchorlock/>
              </v:shape>
            </w:pict>
          </mc:Fallback>
        </mc:AlternateContent>
      </w:r>
    </w:p>
    <w:p w14:paraId="1A461ED9" w14:textId="77777777" w:rsidR="00F177AC" w:rsidRPr="00CD64F8" w:rsidRDefault="00F177AC" w:rsidP="00B210FA">
      <w:pPr>
        <w:spacing w:line="20" w:lineRule="exact"/>
      </w:pPr>
      <w:r w:rsidRPr="00CD64F8">
        <w:rPr>
          <w:noProof/>
          <w:spacing w:val="10"/>
          <w:sz w:val="16"/>
          <w:szCs w:val="16"/>
        </w:rPr>
        <mc:AlternateContent>
          <mc:Choice Requires="wps">
            <w:drawing>
              <wp:anchor distT="0" distB="0" distL="114300" distR="114300" simplePos="0" relativeHeight="251661312" behindDoc="0" locked="1" layoutInCell="1" allowOverlap="1" wp14:anchorId="7381C3A8" wp14:editId="543BFB17">
                <wp:simplePos x="0" y="0"/>
                <wp:positionH relativeFrom="column">
                  <wp:posOffset>-1270</wp:posOffset>
                </wp:positionH>
                <wp:positionV relativeFrom="page">
                  <wp:posOffset>9361170</wp:posOffset>
                </wp:positionV>
                <wp:extent cx="5915160" cy="228600"/>
                <wp:effectExtent l="0" t="0" r="9525"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679E7589" w14:textId="77777777" w:rsidR="00F177AC" w:rsidRPr="002A75EC" w:rsidRDefault="00F177AC" w:rsidP="00F177AC">
                            <w:pPr>
                              <w:pStyle w:val="KontaktTekst"/>
                              <w:spacing w:before="120"/>
                            </w:pPr>
                            <w:r w:rsidRPr="002A75EC">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C3A8" id="Tekstfelt 2" o:spid="_x0000_s1027" type="#_x0000_t202" alt="&quot;&quot;" style="position:absolute;margin-left:-.1pt;margin-top:737.1pt;width:465.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" fillcolor="white [3201]" stroked="f" strokeweight=".5pt">
                <v:textbox inset="0,0,0,0">
                  <w:txbxContent>
                    <w:p w14:paraId="679E7589" w14:textId="77777777" w:rsidR="00F177AC" w:rsidRPr="002A75EC" w:rsidRDefault="00F177AC" w:rsidP="00F177AC">
                      <w:pPr>
                        <w:pStyle w:val="KontaktTekst"/>
                        <w:spacing w:before="120"/>
                      </w:pPr>
                      <w:r w:rsidRPr="002A75EC">
                        <w:t>Kontakt</w:t>
                      </w:r>
                    </w:p>
                  </w:txbxContent>
                </v:textbox>
                <w10:wrap anchory="page"/>
                <w10:anchorlock/>
              </v:shape>
            </w:pict>
          </mc:Fallback>
        </mc:AlternateContent>
      </w:r>
      <w:r w:rsidR="00B210FA" w:rsidRPr="00CD64F8">
        <w:rPr>
          <w:noProof/>
          <w:sz w:val="24"/>
          <w:szCs w:val="24"/>
        </w:rPr>
        <mc:AlternateContent>
          <mc:Choice Requires="wps">
            <w:drawing>
              <wp:anchor distT="0" distB="0" distL="114300" distR="114300" simplePos="0" relativeHeight="251665408" behindDoc="0" locked="1" layoutInCell="1" allowOverlap="1" wp14:anchorId="1C1C9353" wp14:editId="0F4C9532">
                <wp:simplePos x="0" y="0"/>
                <wp:positionH relativeFrom="column">
                  <wp:posOffset>2376170</wp:posOffset>
                </wp:positionH>
                <wp:positionV relativeFrom="page">
                  <wp:posOffset>9649460</wp:posOffset>
                </wp:positionV>
                <wp:extent cx="3304080" cy="6490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080" cy="649080"/>
                        </a:xfrm>
                        <a:prstGeom prst="rect">
                          <a:avLst/>
                        </a:prstGeom>
                        <a:solidFill>
                          <a:schemeClr val="bg1"/>
                        </a:solidFill>
                        <a:ln w="6350">
                          <a:noFill/>
                        </a:ln>
                      </wps:spPr>
                      <wps:txbx>
                        <w:txbxContent>
                          <w:p w14:paraId="0F3B77EA" w14:textId="77777777" w:rsidR="002A75EC" w:rsidRPr="002A75EC" w:rsidRDefault="002A75EC" w:rsidP="002A75EC">
                            <w:pPr>
                              <w:pStyle w:val="AfsenderMedAfstandEfter"/>
                              <w:suppressOverlap/>
                            </w:pPr>
                            <w:r w:rsidRPr="002A75EC">
                              <w:t>Kalundborg Kommune</w:t>
                            </w:r>
                          </w:p>
                          <w:p w14:paraId="77740014" w14:textId="77777777" w:rsidR="002A75EC" w:rsidRPr="002A75EC" w:rsidRDefault="002A75EC" w:rsidP="002A75EC">
                            <w:pPr>
                              <w:pStyle w:val="AfsenderMedAfstandEfter"/>
                              <w:suppressOverlap/>
                            </w:pPr>
                            <w:r w:rsidRPr="002A75EC">
                              <w:t>Holbækvej 141 B</w:t>
                            </w:r>
                          </w:p>
                          <w:p w14:paraId="383408AF" w14:textId="77777777" w:rsidR="00B210FA" w:rsidRPr="002A75EC" w:rsidRDefault="002A75EC" w:rsidP="002A75EC">
                            <w:pPr>
                              <w:pStyle w:val="AfsenderMedAfstandEfter"/>
                              <w:suppressOverlap/>
                            </w:pPr>
                            <w:r w:rsidRPr="002A75EC">
                              <w:t>4400 Kalundborg</w:t>
                            </w:r>
                          </w:p>
                          <w:p w14:paraId="3F3E0082" w14:textId="77777777" w:rsidR="00B210FA" w:rsidRPr="002A75EC" w:rsidRDefault="00B210FA" w:rsidP="00B210FA">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9353" id="SenderRight" o:spid="_x0000_s1028" type="#_x0000_t202" alt="Kalundborg Kommune&#10;Holbækvej 141 B&#10;4400 Kalundborg&#10;&#10;Telefon, omstilling: " style="position:absolute;margin-left:187.1pt;margin-top:759.8pt;width:260.15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w2JQIAAEsEAAAOAAAAZHJzL2Uyb0RvYy54bWysVMFu2zAMvQ/YPwi6L3aSrui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" fillcolor="white [3212]" stroked="f" strokeweight=".5pt">
                <v:textbox inset="0,0,0,0">
                  <w:txbxContent>
                    <w:p w14:paraId="0F3B77EA" w14:textId="77777777" w:rsidR="002A75EC" w:rsidRPr="002A75EC" w:rsidRDefault="002A75EC" w:rsidP="002A75EC">
                      <w:pPr>
                        <w:pStyle w:val="AfsenderMedAfstandEfter"/>
                        <w:suppressOverlap/>
                      </w:pPr>
                      <w:r w:rsidRPr="002A75EC">
                        <w:t>Kalundborg Kommune</w:t>
                      </w:r>
                    </w:p>
                    <w:p w14:paraId="77740014" w14:textId="77777777" w:rsidR="002A75EC" w:rsidRPr="002A75EC" w:rsidRDefault="002A75EC" w:rsidP="002A75EC">
                      <w:pPr>
                        <w:pStyle w:val="AfsenderMedAfstandEfter"/>
                        <w:suppressOverlap/>
                      </w:pPr>
                      <w:r w:rsidRPr="002A75EC">
                        <w:t>Holbækvej 141 B</w:t>
                      </w:r>
                    </w:p>
                    <w:p w14:paraId="383408AF" w14:textId="77777777" w:rsidR="00B210FA" w:rsidRPr="002A75EC" w:rsidRDefault="002A75EC" w:rsidP="002A75EC">
                      <w:pPr>
                        <w:pStyle w:val="AfsenderMedAfstandEfter"/>
                        <w:suppressOverlap/>
                      </w:pPr>
                      <w:r w:rsidRPr="002A75EC">
                        <w:t>4400 Kalundborg</w:t>
                      </w:r>
                    </w:p>
                    <w:p w14:paraId="3F3E0082" w14:textId="77777777" w:rsidR="00B210FA" w:rsidRPr="002A75EC" w:rsidRDefault="00B210FA" w:rsidP="00B210FA">
                      <w:pPr>
                        <w:pStyle w:val="Afsender"/>
                        <w:suppressOverlap/>
                      </w:pPr>
                    </w:p>
                  </w:txbxContent>
                </v:textbox>
                <w10:wrap anchory="page"/>
                <w10:anchorlock/>
              </v:shape>
            </w:pict>
          </mc:Fallback>
        </mc:AlternateContent>
      </w:r>
    </w:p>
    <w:p w14:paraId="0F1A3829" w14:textId="77777777" w:rsidR="00D16A2F" w:rsidRPr="00CD64F8" w:rsidRDefault="00D16A2F" w:rsidP="007613BD"/>
    <w:p w14:paraId="52BAFC78" w14:textId="77777777" w:rsidR="002A75EC" w:rsidRPr="00CD64F8" w:rsidRDefault="002A75EC" w:rsidP="007613BD">
      <w:pPr>
        <w:rPr>
          <w:rFonts w:ascii="Arial" w:hAnsi="Arial" w:cs="Arial"/>
          <w:b/>
          <w:bCs/>
          <w:sz w:val="28"/>
          <w:szCs w:val="28"/>
        </w:rPr>
      </w:pPr>
    </w:p>
    <w:p w14:paraId="0C2FA37E" w14:textId="77777777" w:rsidR="002A75EC" w:rsidRPr="00CD64F8" w:rsidRDefault="002A75EC" w:rsidP="007613BD">
      <w:pPr>
        <w:rPr>
          <w:rFonts w:ascii="Arial" w:hAnsi="Arial" w:cs="Arial"/>
          <w:b/>
          <w:bCs/>
          <w:sz w:val="28"/>
          <w:szCs w:val="28"/>
        </w:rPr>
      </w:pPr>
    </w:p>
    <w:p w14:paraId="08213899" w14:textId="77777777" w:rsidR="001E5BCB" w:rsidRPr="00CD64F8" w:rsidRDefault="001E5BCB" w:rsidP="007613BD">
      <w:pPr>
        <w:rPr>
          <w:rFonts w:ascii="Arial" w:hAnsi="Arial" w:cs="Arial"/>
          <w:b/>
          <w:bCs/>
          <w:sz w:val="28"/>
          <w:szCs w:val="28"/>
        </w:rPr>
      </w:pPr>
    </w:p>
    <w:p w14:paraId="508C8CA5" w14:textId="6BDA7ED4" w:rsidR="002A75EC" w:rsidRPr="00CD64F8" w:rsidRDefault="002A75EC" w:rsidP="007613BD">
      <w:pPr>
        <w:rPr>
          <w:rFonts w:ascii="Arial" w:hAnsi="Arial" w:cs="Arial"/>
          <w:b/>
          <w:bCs/>
          <w:sz w:val="28"/>
          <w:szCs w:val="28"/>
        </w:rPr>
      </w:pPr>
      <w:r w:rsidRPr="00CD64F8">
        <w:rPr>
          <w:rFonts w:ascii="Arial" w:hAnsi="Arial" w:cs="Arial"/>
          <w:b/>
          <w:bCs/>
          <w:sz w:val="28"/>
          <w:szCs w:val="28"/>
        </w:rPr>
        <w:t>Demografinotat</w:t>
      </w:r>
      <w:r w:rsidR="001E5BCB" w:rsidRPr="00CD64F8">
        <w:rPr>
          <w:rFonts w:ascii="Arial" w:hAnsi="Arial" w:cs="Arial"/>
          <w:b/>
          <w:bCs/>
          <w:sz w:val="28"/>
          <w:szCs w:val="28"/>
        </w:rPr>
        <w:t xml:space="preserve"> </w:t>
      </w:r>
      <w:r w:rsidR="00BD0547" w:rsidRPr="00CD64F8">
        <w:rPr>
          <w:rFonts w:ascii="Arial" w:hAnsi="Arial" w:cs="Arial"/>
          <w:b/>
          <w:bCs/>
          <w:sz w:val="28"/>
          <w:szCs w:val="28"/>
        </w:rPr>
        <w:t>for</w:t>
      </w:r>
      <w:r w:rsidR="001E5BCB" w:rsidRPr="00CD64F8">
        <w:rPr>
          <w:rFonts w:ascii="Arial" w:hAnsi="Arial" w:cs="Arial"/>
          <w:b/>
          <w:bCs/>
          <w:sz w:val="28"/>
          <w:szCs w:val="28"/>
        </w:rPr>
        <w:t xml:space="preserve"> </w:t>
      </w:r>
      <w:r w:rsidR="00BD0547" w:rsidRPr="00CD64F8">
        <w:rPr>
          <w:rFonts w:ascii="Arial" w:hAnsi="Arial" w:cs="Arial"/>
          <w:b/>
          <w:bCs/>
          <w:sz w:val="28"/>
          <w:szCs w:val="28"/>
        </w:rPr>
        <w:t>Voksenspecialenhedens b</w:t>
      </w:r>
      <w:r w:rsidR="001E5BCB" w:rsidRPr="00CD64F8">
        <w:rPr>
          <w:rFonts w:ascii="Arial" w:hAnsi="Arial" w:cs="Arial"/>
          <w:b/>
          <w:bCs/>
          <w:sz w:val="28"/>
          <w:szCs w:val="28"/>
        </w:rPr>
        <w:t>udget 2025-</w:t>
      </w:r>
      <w:r w:rsidR="007B5663" w:rsidRPr="00CD64F8">
        <w:rPr>
          <w:rFonts w:ascii="Arial" w:hAnsi="Arial" w:cs="Arial"/>
          <w:b/>
          <w:bCs/>
          <w:sz w:val="28"/>
          <w:szCs w:val="28"/>
        </w:rPr>
        <w:t>20</w:t>
      </w:r>
      <w:r w:rsidR="001E5BCB" w:rsidRPr="00CD64F8">
        <w:rPr>
          <w:rFonts w:ascii="Arial" w:hAnsi="Arial" w:cs="Arial"/>
          <w:b/>
          <w:bCs/>
          <w:sz w:val="28"/>
          <w:szCs w:val="28"/>
        </w:rPr>
        <w:t>28</w:t>
      </w:r>
    </w:p>
    <w:p w14:paraId="01F73638" w14:textId="77777777" w:rsidR="002A75EC" w:rsidRPr="00CD64F8" w:rsidRDefault="002A75EC" w:rsidP="007613BD">
      <w:pPr>
        <w:rPr>
          <w:rFonts w:ascii="Arial" w:hAnsi="Arial" w:cs="Arial"/>
        </w:rPr>
      </w:pPr>
    </w:p>
    <w:p w14:paraId="3F904F81" w14:textId="42E11E9C" w:rsidR="001E5BCB" w:rsidRPr="00982D89" w:rsidRDefault="002A75EC" w:rsidP="002A75EC">
      <w:r w:rsidRPr="00982D89">
        <w:t>N</w:t>
      </w:r>
      <w:r w:rsidR="009306F9" w:rsidRPr="00982D89">
        <w:t xml:space="preserve">otatet her </w:t>
      </w:r>
      <w:r w:rsidRPr="00982D89">
        <w:t>beskriver de</w:t>
      </w:r>
      <w:r w:rsidR="001E5BCB" w:rsidRPr="00982D89">
        <w:t xml:space="preserve">n demografiske udvikling </w:t>
      </w:r>
      <w:r w:rsidR="00BD0547" w:rsidRPr="00982D89">
        <w:t>for Voksenspecialenheden</w:t>
      </w:r>
      <w:r w:rsidR="009123DB" w:rsidRPr="00982D89">
        <w:t xml:space="preserve">s </w:t>
      </w:r>
      <w:r w:rsidR="001E5BCB" w:rsidRPr="00982D89">
        <w:t>område, herunder de økonomiske konsekvenser for Kalundborg Kommune til budget 2025-</w:t>
      </w:r>
      <w:r w:rsidR="007B5663" w:rsidRPr="00982D89">
        <w:t>20</w:t>
      </w:r>
      <w:r w:rsidR="001E5BCB" w:rsidRPr="00982D89">
        <w:t>28.</w:t>
      </w:r>
    </w:p>
    <w:p w14:paraId="1FFD0BB0" w14:textId="77777777" w:rsidR="001E5BCB" w:rsidRPr="00CD64F8" w:rsidRDefault="001E5BCB" w:rsidP="002A75EC">
      <w:pPr>
        <w:rPr>
          <w:rFonts w:ascii="Arial" w:hAnsi="Arial" w:cs="Arial"/>
          <w:sz w:val="24"/>
          <w:szCs w:val="24"/>
        </w:rPr>
      </w:pPr>
    </w:p>
    <w:p w14:paraId="1D540DBD" w14:textId="031F3CAB" w:rsidR="002A75EC" w:rsidRPr="00CD64F8" w:rsidRDefault="002A75EC" w:rsidP="001E5BCB">
      <w:pPr>
        <w:pStyle w:val="Listeafsnit"/>
        <w:numPr>
          <w:ilvl w:val="0"/>
          <w:numId w:val="6"/>
        </w:numPr>
        <w:rPr>
          <w:rFonts w:ascii="Arial" w:hAnsi="Arial" w:cs="Arial"/>
          <w:b/>
          <w:bCs/>
          <w:sz w:val="24"/>
          <w:szCs w:val="24"/>
          <w:lang w:val="da-DK"/>
        </w:rPr>
      </w:pPr>
      <w:r w:rsidRPr="00CD64F8">
        <w:rPr>
          <w:b/>
          <w:bCs/>
          <w:noProof/>
          <w:lang w:val="da-DK"/>
        </w:rPr>
        <mc:AlternateContent>
          <mc:Choice Requires="wps">
            <w:drawing>
              <wp:anchor distT="45720" distB="45720" distL="114300" distR="114300" simplePos="0" relativeHeight="251667456" behindDoc="0" locked="0" layoutInCell="1" allowOverlap="1" wp14:anchorId="42C3C3E7" wp14:editId="7F8D6B32">
                <wp:simplePos x="0" y="0"/>
                <wp:positionH relativeFrom="margin">
                  <wp:align>left</wp:align>
                </wp:positionH>
                <wp:positionV relativeFrom="paragraph">
                  <wp:posOffset>367665</wp:posOffset>
                </wp:positionV>
                <wp:extent cx="5638800" cy="1404620"/>
                <wp:effectExtent l="0" t="0" r="19050" b="139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512EA056" w14:textId="60678A10" w:rsidR="002A75EC" w:rsidRPr="004F1F54" w:rsidRDefault="00ED0AB3">
                            <w:r w:rsidRPr="00982D89">
                              <w:t>Den demografiske udvikling</w:t>
                            </w:r>
                            <w:r w:rsidR="00D902AB" w:rsidRPr="00982D89">
                              <w:t xml:space="preserve"> forventes at betyde at der vil være et behov for tilførsel af </w:t>
                            </w:r>
                            <w:r w:rsidR="000F6370">
                              <w:t>6,3</w:t>
                            </w:r>
                            <w:r w:rsidR="00EB7641" w:rsidRPr="00982D89">
                              <w:t xml:space="preserve"> mio. kr. t</w:t>
                            </w:r>
                            <w:r w:rsidR="006015C1" w:rsidRPr="00982D89">
                              <w:t>il</w:t>
                            </w:r>
                            <w:r w:rsidR="006343C5" w:rsidRPr="00982D89">
                              <w:t xml:space="preserve"> Voksenspecialenheden for 2025</w:t>
                            </w:r>
                            <w:r w:rsidR="003148D4" w:rsidRPr="00982D89">
                              <w:t xml:space="preserve"> på </w:t>
                            </w:r>
                            <w:r w:rsidR="00982D89" w:rsidRPr="00982D89">
                              <w:t>Socialudvalgets område</w:t>
                            </w:r>
                            <w:r w:rsidR="00EB7641" w:rsidRPr="00982D89">
                              <w:t>.</w:t>
                            </w:r>
                          </w:p>
                          <w:p w14:paraId="6B8CB886" w14:textId="77777777" w:rsidR="006343C5" w:rsidRDefault="006343C5">
                            <w:pPr>
                              <w:rPr>
                                <w:i/>
                                <w:iCs/>
                                <w:color w:val="0070C0"/>
                              </w:rPr>
                            </w:pPr>
                          </w:p>
                          <w:p w14:paraId="79ED2989" w14:textId="48689F44" w:rsidR="006343C5" w:rsidRDefault="00C975DD">
                            <w:r>
                              <w:t>Med Ekspertudvalget på socialområdets anbefalinger</w:t>
                            </w:r>
                            <w:r w:rsidR="000222CA">
                              <w:t xml:space="preserve"> til en bæredygtig faglig og økonomisk udvikling på socialområdet</w:t>
                            </w:r>
                            <w:r w:rsidR="00B325DB">
                              <w:t xml:space="preserve">, </w:t>
                            </w:r>
                            <w:r w:rsidR="004441A9">
                              <w:t>Regeringens</w:t>
                            </w:r>
                            <w:r w:rsidR="00A95CCD">
                              <w:t xml:space="preserve"> </w:t>
                            </w:r>
                            <w:r w:rsidR="008706BD">
                              <w:t>ramme</w:t>
                            </w:r>
                            <w:r w:rsidR="00A95CCD">
                              <w:t>aftale</w:t>
                            </w:r>
                            <w:r w:rsidR="004441A9">
                              <w:t xml:space="preserve"> </w:t>
                            </w:r>
                            <w:r w:rsidR="0091726C">
                              <w:t>om</w:t>
                            </w:r>
                            <w:r w:rsidR="00D63EEB">
                              <w:t xml:space="preserve"> en </w:t>
                            </w:r>
                            <w:r w:rsidR="0091726C">
                              <w:t>langsigtet og bæredygtig udvikling af handicapområdet</w:t>
                            </w:r>
                            <w:r w:rsidR="00B325DB">
                              <w:t xml:space="preserve"> og delaftale</w:t>
                            </w:r>
                            <w:r w:rsidR="004F1697">
                              <w:t>n</w:t>
                            </w:r>
                            <w:r w:rsidR="00B325DB">
                              <w:t xml:space="preserve"> til ØA</w:t>
                            </w:r>
                            <w:r w:rsidR="00FF666B">
                              <w:t>2025 mellem Regeringen og KL</w:t>
                            </w:r>
                            <w:r w:rsidR="00A95CCD">
                              <w:t>, vil d</w:t>
                            </w:r>
                            <w:r w:rsidR="00E51CD5">
                              <w:t xml:space="preserve">er </w:t>
                            </w:r>
                            <w:r w:rsidR="00E94AE9">
                              <w:t>i den kommende tid</w:t>
                            </w:r>
                            <w:r w:rsidR="00E51CD5">
                              <w:t xml:space="preserve"> </w:t>
                            </w:r>
                            <w:r w:rsidR="00E94AE9">
                              <w:t>blive besluttet</w:t>
                            </w:r>
                            <w:r w:rsidR="00E51CD5">
                              <w:t xml:space="preserve"> en del ændringer</w:t>
                            </w:r>
                            <w:r w:rsidR="00FF666B">
                              <w:t xml:space="preserve"> og tiltag</w:t>
                            </w:r>
                            <w:r w:rsidR="00E51CD5">
                              <w:t xml:space="preserve"> </w:t>
                            </w:r>
                            <w:r w:rsidR="00C72C63">
                              <w:t>omkring Voksenspecialenhedens regi</w:t>
                            </w:r>
                            <w:r w:rsidR="0067016C">
                              <w:t xml:space="preserve"> på flere niveauer</w:t>
                            </w:r>
                            <w:r w:rsidR="003D2ADA">
                              <w:t xml:space="preserve">. Det vil på nuværende tidspunkt ikke være muligt at komme med konkrete bud på den </w:t>
                            </w:r>
                            <w:r w:rsidR="00C72C63">
                              <w:t>økonomisk betydning</w:t>
                            </w:r>
                            <w:r w:rsidR="005F3463">
                              <w:t xml:space="preserve"> på </w:t>
                            </w:r>
                            <w:r w:rsidR="00FB75B9">
                              <w:t xml:space="preserve">kort og langt </w:t>
                            </w:r>
                            <w:r w:rsidR="005F3463">
                              <w:t>sigt</w:t>
                            </w:r>
                            <w:r w:rsidR="0041558D">
                              <w:t>.</w:t>
                            </w:r>
                            <w:r w:rsidR="00C44BC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3C3E7" id="_x0000_s1029" type="#_x0000_t202" style="position:absolute;left:0;text-align:left;margin-left:0;margin-top:28.95pt;width:444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YSFgIAACcEAAAOAAAAZHJzL2Uyb0RvYy54bWysU9tu2zAMfR+wfxD0vthJkyw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">
                <v:textbox style="mso-fit-shape-to-text:t">
                  <w:txbxContent>
                    <w:p w14:paraId="512EA056" w14:textId="60678A10" w:rsidR="002A75EC" w:rsidRPr="004F1F54" w:rsidRDefault="00ED0AB3">
                      <w:r w:rsidRPr="00982D89">
                        <w:t>Den demografiske udvikling</w:t>
                      </w:r>
                      <w:r w:rsidR="00D902AB" w:rsidRPr="00982D89">
                        <w:t xml:space="preserve"> forventes at betyde at der vil være et behov for tilførsel af </w:t>
                      </w:r>
                      <w:r w:rsidR="000F6370">
                        <w:t>6,3</w:t>
                      </w:r>
                      <w:r w:rsidR="00EB7641" w:rsidRPr="00982D89">
                        <w:t xml:space="preserve"> mio. kr. t</w:t>
                      </w:r>
                      <w:r w:rsidR="006015C1" w:rsidRPr="00982D89">
                        <w:t>il</w:t>
                      </w:r>
                      <w:r w:rsidR="006343C5" w:rsidRPr="00982D89">
                        <w:t xml:space="preserve"> Voksenspecialenheden for 2025</w:t>
                      </w:r>
                      <w:r w:rsidR="003148D4" w:rsidRPr="00982D89">
                        <w:t xml:space="preserve"> på </w:t>
                      </w:r>
                      <w:r w:rsidR="00982D89" w:rsidRPr="00982D89">
                        <w:t>Socialudvalgets område</w:t>
                      </w:r>
                      <w:r w:rsidR="00EB7641" w:rsidRPr="00982D89">
                        <w:t>.</w:t>
                      </w:r>
                    </w:p>
                    <w:p w14:paraId="6B8CB886" w14:textId="77777777" w:rsidR="006343C5" w:rsidRDefault="006343C5">
                      <w:pPr>
                        <w:rPr>
                          <w:i/>
                          <w:iCs/>
                          <w:color w:val="0070C0"/>
                        </w:rPr>
                      </w:pPr>
                    </w:p>
                    <w:p w14:paraId="79ED2989" w14:textId="48689F44" w:rsidR="006343C5" w:rsidRDefault="00C975DD">
                      <w:r>
                        <w:t>Med Ekspertudvalget på socialområdets anbefalinger</w:t>
                      </w:r>
                      <w:r w:rsidR="000222CA">
                        <w:t xml:space="preserve"> til en bæredygtig faglig og økonomisk udvikling på socialområdet</w:t>
                      </w:r>
                      <w:r w:rsidR="00B325DB">
                        <w:t xml:space="preserve">, </w:t>
                      </w:r>
                      <w:r w:rsidR="004441A9">
                        <w:t>Regeringens</w:t>
                      </w:r>
                      <w:r w:rsidR="00A95CCD">
                        <w:t xml:space="preserve"> </w:t>
                      </w:r>
                      <w:r w:rsidR="008706BD">
                        <w:t>ramme</w:t>
                      </w:r>
                      <w:r w:rsidR="00A95CCD">
                        <w:t>aftale</w:t>
                      </w:r>
                      <w:r w:rsidR="004441A9">
                        <w:t xml:space="preserve"> </w:t>
                      </w:r>
                      <w:r w:rsidR="0091726C">
                        <w:t>om</w:t>
                      </w:r>
                      <w:r w:rsidR="00D63EEB">
                        <w:t xml:space="preserve"> en </w:t>
                      </w:r>
                      <w:r w:rsidR="0091726C">
                        <w:t>langsigtet og bæredygtig udvikling af handicapområdet</w:t>
                      </w:r>
                      <w:r w:rsidR="00B325DB">
                        <w:t xml:space="preserve"> og delaftale</w:t>
                      </w:r>
                      <w:r w:rsidR="004F1697">
                        <w:t>n</w:t>
                      </w:r>
                      <w:r w:rsidR="00B325DB">
                        <w:t xml:space="preserve"> til ØA</w:t>
                      </w:r>
                      <w:r w:rsidR="00FF666B">
                        <w:t>2025 mellem Regeringen og KL</w:t>
                      </w:r>
                      <w:r w:rsidR="00A95CCD">
                        <w:t>, vil d</w:t>
                      </w:r>
                      <w:r w:rsidR="00E51CD5">
                        <w:t xml:space="preserve">er </w:t>
                      </w:r>
                      <w:r w:rsidR="00E94AE9">
                        <w:t>i den kommende tid</w:t>
                      </w:r>
                      <w:r w:rsidR="00E51CD5">
                        <w:t xml:space="preserve"> </w:t>
                      </w:r>
                      <w:r w:rsidR="00E94AE9">
                        <w:t>blive besluttet</w:t>
                      </w:r>
                      <w:r w:rsidR="00E51CD5">
                        <w:t xml:space="preserve"> en del ændringer</w:t>
                      </w:r>
                      <w:r w:rsidR="00FF666B">
                        <w:t xml:space="preserve"> og tiltag</w:t>
                      </w:r>
                      <w:r w:rsidR="00E51CD5">
                        <w:t xml:space="preserve"> </w:t>
                      </w:r>
                      <w:r w:rsidR="00C72C63">
                        <w:t>omkring Voksenspecialenhedens regi</w:t>
                      </w:r>
                      <w:r w:rsidR="0067016C">
                        <w:t xml:space="preserve"> på flere niveauer</w:t>
                      </w:r>
                      <w:r w:rsidR="003D2ADA">
                        <w:t xml:space="preserve">. Det vil på nuværende tidspunkt ikke være muligt at komme med konkrete bud på den </w:t>
                      </w:r>
                      <w:r w:rsidR="00C72C63">
                        <w:t>økonomisk betydning</w:t>
                      </w:r>
                      <w:r w:rsidR="005F3463">
                        <w:t xml:space="preserve"> på </w:t>
                      </w:r>
                      <w:r w:rsidR="00FB75B9">
                        <w:t xml:space="preserve">kort og langt </w:t>
                      </w:r>
                      <w:r w:rsidR="005F3463">
                        <w:t>sigt</w:t>
                      </w:r>
                      <w:r w:rsidR="0041558D">
                        <w:t>.</w:t>
                      </w:r>
                      <w:r w:rsidR="00C44BC4">
                        <w:t xml:space="preserve"> </w:t>
                      </w:r>
                    </w:p>
                  </w:txbxContent>
                </v:textbox>
                <w10:wrap type="square" anchorx="margin"/>
              </v:shape>
            </w:pict>
          </mc:Fallback>
        </mc:AlternateContent>
      </w:r>
      <w:r w:rsidR="00D469CE" w:rsidRPr="00CD64F8">
        <w:rPr>
          <w:rFonts w:ascii="Arial" w:hAnsi="Arial" w:cs="Arial"/>
          <w:b/>
          <w:bCs/>
          <w:sz w:val="24"/>
          <w:szCs w:val="24"/>
          <w:lang w:val="da-DK"/>
        </w:rPr>
        <w:t>K</w:t>
      </w:r>
      <w:r w:rsidRPr="00CD64F8">
        <w:rPr>
          <w:rFonts w:ascii="Arial" w:hAnsi="Arial" w:cs="Arial"/>
          <w:b/>
          <w:bCs/>
          <w:sz w:val="24"/>
          <w:szCs w:val="24"/>
          <w:lang w:val="da-DK"/>
        </w:rPr>
        <w:t>onklu</w:t>
      </w:r>
      <w:r w:rsidR="001E5BCB" w:rsidRPr="00CD64F8">
        <w:rPr>
          <w:rFonts w:ascii="Arial" w:hAnsi="Arial" w:cs="Arial"/>
          <w:b/>
          <w:bCs/>
          <w:sz w:val="24"/>
          <w:szCs w:val="24"/>
          <w:lang w:val="da-DK"/>
        </w:rPr>
        <w:t>s</w:t>
      </w:r>
      <w:r w:rsidRPr="00CD64F8">
        <w:rPr>
          <w:rFonts w:ascii="Arial" w:hAnsi="Arial" w:cs="Arial"/>
          <w:b/>
          <w:bCs/>
          <w:sz w:val="24"/>
          <w:szCs w:val="24"/>
          <w:lang w:val="da-DK"/>
        </w:rPr>
        <w:t>ion</w:t>
      </w:r>
    </w:p>
    <w:p w14:paraId="7BE941C0" w14:textId="57D1917D" w:rsidR="00730B2C" w:rsidRPr="00CD64F8" w:rsidRDefault="00730B2C" w:rsidP="007613BD">
      <w:pPr>
        <w:rPr>
          <w:rFonts w:ascii="Arial" w:hAnsi="Arial" w:cs="Arial"/>
          <w:sz w:val="24"/>
          <w:szCs w:val="24"/>
        </w:rPr>
      </w:pPr>
    </w:p>
    <w:p w14:paraId="2C1D3403" w14:textId="46AA0B6C" w:rsidR="003C7075" w:rsidRDefault="002A75EC" w:rsidP="001E5BCB">
      <w:pPr>
        <w:pStyle w:val="Listeafsnit"/>
        <w:numPr>
          <w:ilvl w:val="0"/>
          <w:numId w:val="6"/>
        </w:numPr>
        <w:rPr>
          <w:rFonts w:ascii="Arial" w:hAnsi="Arial" w:cs="Arial"/>
          <w:b/>
          <w:bCs/>
          <w:sz w:val="24"/>
          <w:szCs w:val="24"/>
          <w:lang w:val="da-DK"/>
        </w:rPr>
      </w:pPr>
      <w:r w:rsidRPr="00CD64F8">
        <w:rPr>
          <w:rFonts w:ascii="Arial" w:hAnsi="Arial" w:cs="Arial"/>
          <w:b/>
          <w:bCs/>
          <w:sz w:val="24"/>
          <w:szCs w:val="24"/>
          <w:lang w:val="da-DK"/>
        </w:rPr>
        <w:t>Beskrivelse af området</w:t>
      </w:r>
    </w:p>
    <w:p w14:paraId="79A2CB15" w14:textId="77777777" w:rsidR="00F95210" w:rsidRDefault="00F95210" w:rsidP="00CD64F8">
      <w:pPr>
        <w:pStyle w:val="Listeafsnit"/>
        <w:ind w:left="360"/>
        <w:rPr>
          <w:lang w:val="da-DK"/>
        </w:rPr>
      </w:pPr>
    </w:p>
    <w:p w14:paraId="4BDD3723" w14:textId="7033431E" w:rsidR="00CD64F8" w:rsidRDefault="00CD64F8" w:rsidP="00CD64F8">
      <w:pPr>
        <w:pStyle w:val="Listeafsnit"/>
        <w:ind w:left="360"/>
        <w:rPr>
          <w:lang w:val="da-DK"/>
        </w:rPr>
      </w:pPr>
      <w:r w:rsidRPr="00CD64F8">
        <w:rPr>
          <w:lang w:val="da-DK"/>
        </w:rPr>
        <w:t xml:space="preserve">Den økonomiske udvikling indenfor det specialiserede voksensocialområde udfordres fortsat af stærkt stigende udgifter. Det gælder både på landsplan og lokalt i Kalundborg Kommune. På den baggrund </w:t>
      </w:r>
      <w:r w:rsidR="00972FE7">
        <w:rPr>
          <w:lang w:val="da-DK"/>
        </w:rPr>
        <w:t>nedsatte</w:t>
      </w:r>
      <w:r w:rsidRPr="00CD64F8">
        <w:rPr>
          <w:lang w:val="da-DK"/>
        </w:rPr>
        <w:t xml:space="preserve"> KL og Regeringen i forlængelse af økonomiaftalen</w:t>
      </w:r>
      <w:r w:rsidR="00D230CC">
        <w:rPr>
          <w:lang w:val="da-DK"/>
        </w:rPr>
        <w:t xml:space="preserve"> 2022</w:t>
      </w:r>
      <w:r w:rsidRPr="00CD64F8">
        <w:rPr>
          <w:lang w:val="da-DK"/>
        </w:rPr>
        <w:t xml:space="preserve"> et ekspertudvalg som </w:t>
      </w:r>
      <w:r w:rsidR="00360F2F">
        <w:rPr>
          <w:lang w:val="da-DK"/>
        </w:rPr>
        <w:t>bestod</w:t>
      </w:r>
      <w:r w:rsidRPr="00CD64F8">
        <w:rPr>
          <w:lang w:val="da-DK"/>
        </w:rPr>
        <w:t xml:space="preserve"> af forskere, professorer, direktører, chefer og formænd for forskellige organisationer</w:t>
      </w:r>
      <w:r w:rsidR="00DD29B3">
        <w:rPr>
          <w:lang w:val="da-DK"/>
        </w:rPr>
        <w:t xml:space="preserve">: </w:t>
      </w:r>
      <w:r w:rsidR="00E83374">
        <w:rPr>
          <w:lang w:val="da-DK"/>
        </w:rPr>
        <w:t>Ekspertudvalget på socialområdet</w:t>
      </w:r>
      <w:r w:rsidRPr="00CD64F8">
        <w:rPr>
          <w:lang w:val="da-DK"/>
        </w:rPr>
        <w:t xml:space="preserve">. Udvalgets opgave har været at komme med anbefalinger til, hvordan der fremadrettet kan sikres en bæredygtig faglig og økonomisk udvikling på det specialiserede voksensocialområde. </w:t>
      </w:r>
      <w:r w:rsidR="00093A80">
        <w:rPr>
          <w:lang w:val="da-DK"/>
        </w:rPr>
        <w:t>Ekspe</w:t>
      </w:r>
      <w:r w:rsidR="00E15AF4">
        <w:rPr>
          <w:lang w:val="da-DK"/>
        </w:rPr>
        <w:t>rtudvalgets endelige rapport</w:t>
      </w:r>
      <w:r w:rsidR="00306561">
        <w:rPr>
          <w:lang w:val="da-DK"/>
        </w:rPr>
        <w:t xml:space="preserve"> udkom </w:t>
      </w:r>
      <w:r w:rsidR="00A905A6">
        <w:rPr>
          <w:lang w:val="da-DK"/>
        </w:rPr>
        <w:t>i april 2024 og</w:t>
      </w:r>
      <w:r w:rsidR="00E15AF4">
        <w:rPr>
          <w:lang w:val="da-DK"/>
        </w:rPr>
        <w:t xml:space="preserve"> indeholder 19 </w:t>
      </w:r>
      <w:r w:rsidR="008B094D">
        <w:rPr>
          <w:lang w:val="da-DK"/>
        </w:rPr>
        <w:t>anbefalinger</w:t>
      </w:r>
      <w:r w:rsidR="002F3998">
        <w:rPr>
          <w:lang w:val="da-DK"/>
        </w:rPr>
        <w:t xml:space="preserve"> til initiativer, justeringer og tiltag indenfor området</w:t>
      </w:r>
      <w:r w:rsidR="00D742E3">
        <w:rPr>
          <w:lang w:val="da-DK"/>
        </w:rPr>
        <w:t xml:space="preserve"> i 5 spor:</w:t>
      </w:r>
    </w:p>
    <w:p w14:paraId="27467C9D" w14:textId="6F6AB1E2" w:rsidR="00D742E3" w:rsidRDefault="004032D5" w:rsidP="00D42E6A">
      <w:pPr>
        <w:pStyle w:val="Listeafsnit"/>
        <w:numPr>
          <w:ilvl w:val="0"/>
          <w:numId w:val="9"/>
        </w:numPr>
        <w:rPr>
          <w:lang w:val="da-DK"/>
        </w:rPr>
      </w:pPr>
      <w:r>
        <w:rPr>
          <w:lang w:val="da-DK"/>
        </w:rPr>
        <w:t>Vi skal vide, hvad der driver udviklingen i udgifterne og borgernes indsatser</w:t>
      </w:r>
    </w:p>
    <w:p w14:paraId="61EAC1ED" w14:textId="243BDFC9" w:rsidR="004032D5" w:rsidRDefault="00D42E6A" w:rsidP="00D742E3">
      <w:pPr>
        <w:pStyle w:val="Listeafsnit"/>
        <w:numPr>
          <w:ilvl w:val="0"/>
          <w:numId w:val="9"/>
        </w:numPr>
        <w:rPr>
          <w:lang w:val="da-DK"/>
        </w:rPr>
      </w:pPr>
      <w:r>
        <w:rPr>
          <w:lang w:val="da-DK"/>
        </w:rPr>
        <w:t>Vi skal vide hvilken forebyggelse, der kan hjælpe borgeren, før problemerne vokser</w:t>
      </w:r>
    </w:p>
    <w:p w14:paraId="60730D49" w14:textId="59072394" w:rsidR="00D42E6A" w:rsidRDefault="00D42E6A" w:rsidP="00D742E3">
      <w:pPr>
        <w:pStyle w:val="Listeafsnit"/>
        <w:numPr>
          <w:ilvl w:val="0"/>
          <w:numId w:val="9"/>
        </w:numPr>
        <w:rPr>
          <w:lang w:val="da-DK"/>
        </w:rPr>
      </w:pPr>
      <w:r>
        <w:rPr>
          <w:lang w:val="da-DK"/>
        </w:rPr>
        <w:t>Fokus på kerneopgaven</w:t>
      </w:r>
    </w:p>
    <w:p w14:paraId="75588F73" w14:textId="49340E20" w:rsidR="00D42E6A" w:rsidRDefault="00D42E6A" w:rsidP="00D742E3">
      <w:pPr>
        <w:pStyle w:val="Listeafsnit"/>
        <w:numPr>
          <w:ilvl w:val="0"/>
          <w:numId w:val="9"/>
        </w:numPr>
        <w:rPr>
          <w:lang w:val="da-DK"/>
        </w:rPr>
      </w:pPr>
      <w:r>
        <w:rPr>
          <w:lang w:val="da-DK"/>
        </w:rPr>
        <w:t>Vi skal gøre det der virker</w:t>
      </w:r>
    </w:p>
    <w:p w14:paraId="69AD90BA" w14:textId="7513CCEC" w:rsidR="00D42E6A" w:rsidRDefault="00B012A9" w:rsidP="00D742E3">
      <w:pPr>
        <w:pStyle w:val="Listeafsnit"/>
        <w:numPr>
          <w:ilvl w:val="0"/>
          <w:numId w:val="9"/>
        </w:numPr>
        <w:rPr>
          <w:lang w:val="da-DK"/>
        </w:rPr>
      </w:pPr>
      <w:r>
        <w:rPr>
          <w:lang w:val="da-DK"/>
        </w:rPr>
        <w:t>Progression for borgeren</w:t>
      </w:r>
    </w:p>
    <w:p w14:paraId="5224189C" w14:textId="77777777" w:rsidR="00872A3A" w:rsidRDefault="00872A3A" w:rsidP="00CD64F8">
      <w:pPr>
        <w:pStyle w:val="Listeafsnit"/>
        <w:ind w:left="360"/>
        <w:rPr>
          <w:lang w:val="da-DK"/>
        </w:rPr>
      </w:pPr>
    </w:p>
    <w:p w14:paraId="7FF8E2A8" w14:textId="6B695811" w:rsidR="00A73044" w:rsidRDefault="00872A3A" w:rsidP="00CD64F8">
      <w:pPr>
        <w:pStyle w:val="Listeafsnit"/>
        <w:ind w:left="360"/>
        <w:rPr>
          <w:lang w:val="da-DK"/>
        </w:rPr>
      </w:pPr>
      <w:r>
        <w:rPr>
          <w:lang w:val="da-DK"/>
        </w:rPr>
        <w:t xml:space="preserve">Regeringen indgik i maj 2024 en rammeaftale </w:t>
      </w:r>
      <w:r w:rsidR="00216DE1">
        <w:rPr>
          <w:lang w:val="da-DK"/>
        </w:rPr>
        <w:t>med Liberal Alliance, Det Konservative Folkeparti og Det Radikale Venstre</w:t>
      </w:r>
      <w:r w:rsidR="003E66D4">
        <w:rPr>
          <w:lang w:val="da-DK"/>
        </w:rPr>
        <w:t xml:space="preserve">, som skal sigte imod en langsigtet og bæredygtig udvikling af Handicapområdet. Rammeaftalen peger på 25 </w:t>
      </w:r>
      <w:r w:rsidR="00492B2E">
        <w:rPr>
          <w:lang w:val="da-DK"/>
        </w:rPr>
        <w:t>elementer</w:t>
      </w:r>
      <w:r w:rsidR="00C002A7">
        <w:rPr>
          <w:lang w:val="da-DK"/>
        </w:rPr>
        <w:t>, som skal bidrage på kort og langt sigt.</w:t>
      </w:r>
      <w:r w:rsidR="00A73044">
        <w:rPr>
          <w:lang w:val="da-DK"/>
        </w:rPr>
        <w:t xml:space="preserve"> De kan inddeles i 12 hovedemner:</w:t>
      </w:r>
    </w:p>
    <w:p w14:paraId="43E4677A" w14:textId="0B293F2B" w:rsidR="001669FC" w:rsidRDefault="001669FC" w:rsidP="001669FC">
      <w:pPr>
        <w:pStyle w:val="Listeafsnit"/>
        <w:numPr>
          <w:ilvl w:val="0"/>
          <w:numId w:val="10"/>
        </w:numPr>
        <w:rPr>
          <w:lang w:val="da-DK"/>
        </w:rPr>
      </w:pPr>
      <w:r>
        <w:rPr>
          <w:lang w:val="da-DK"/>
        </w:rPr>
        <w:t>Færre unødvendige revurderinger</w:t>
      </w:r>
    </w:p>
    <w:p w14:paraId="0176AC9A" w14:textId="37FFC7D1" w:rsidR="001669FC" w:rsidRDefault="001669FC" w:rsidP="001669FC">
      <w:pPr>
        <w:pStyle w:val="Listeafsnit"/>
        <w:numPr>
          <w:ilvl w:val="0"/>
          <w:numId w:val="10"/>
        </w:numPr>
        <w:rPr>
          <w:lang w:val="da-DK"/>
        </w:rPr>
      </w:pPr>
      <w:r>
        <w:rPr>
          <w:lang w:val="da-DK"/>
        </w:rPr>
        <w:t>Lettere adgang til hjælpemidler</w:t>
      </w:r>
    </w:p>
    <w:p w14:paraId="4DA12288" w14:textId="21AE8BF6" w:rsidR="001669FC" w:rsidRDefault="001669FC" w:rsidP="001669FC">
      <w:pPr>
        <w:pStyle w:val="Listeafsnit"/>
        <w:numPr>
          <w:ilvl w:val="0"/>
          <w:numId w:val="10"/>
        </w:numPr>
        <w:rPr>
          <w:lang w:val="da-DK"/>
        </w:rPr>
      </w:pPr>
      <w:r>
        <w:rPr>
          <w:lang w:val="da-DK"/>
        </w:rPr>
        <w:lastRenderedPageBreak/>
        <w:t>Merudgiftsydelsen – væk med nidkære regler</w:t>
      </w:r>
    </w:p>
    <w:p w14:paraId="6300D11C" w14:textId="6D8295A0" w:rsidR="001669FC" w:rsidRDefault="001669FC" w:rsidP="001669FC">
      <w:pPr>
        <w:pStyle w:val="Listeafsnit"/>
        <w:numPr>
          <w:ilvl w:val="0"/>
          <w:numId w:val="10"/>
        </w:numPr>
        <w:rPr>
          <w:lang w:val="da-DK"/>
        </w:rPr>
      </w:pPr>
      <w:r>
        <w:rPr>
          <w:lang w:val="da-DK"/>
        </w:rPr>
        <w:t>Mere uddannet personale</w:t>
      </w:r>
    </w:p>
    <w:p w14:paraId="014C2CCA" w14:textId="3A13D092" w:rsidR="001669FC" w:rsidRDefault="00FA017C" w:rsidP="001669FC">
      <w:pPr>
        <w:pStyle w:val="Listeafsnit"/>
        <w:numPr>
          <w:ilvl w:val="0"/>
          <w:numId w:val="10"/>
        </w:numPr>
        <w:rPr>
          <w:lang w:val="da-DK"/>
        </w:rPr>
      </w:pPr>
      <w:r>
        <w:rPr>
          <w:lang w:val="da-DK"/>
        </w:rPr>
        <w:t>Faglighed og viden</w:t>
      </w:r>
    </w:p>
    <w:p w14:paraId="0658DB82" w14:textId="2B3A5BB6" w:rsidR="00FA017C" w:rsidRDefault="00FA017C" w:rsidP="001669FC">
      <w:pPr>
        <w:pStyle w:val="Listeafsnit"/>
        <w:numPr>
          <w:ilvl w:val="0"/>
          <w:numId w:val="10"/>
        </w:numPr>
        <w:rPr>
          <w:lang w:val="da-DK"/>
        </w:rPr>
      </w:pPr>
      <w:r>
        <w:rPr>
          <w:lang w:val="da-DK"/>
        </w:rPr>
        <w:t>De mest specielle behov skal mødes af særlige tilbud</w:t>
      </w:r>
    </w:p>
    <w:p w14:paraId="54EFA640" w14:textId="16B228B6" w:rsidR="00FA017C" w:rsidRDefault="00FA017C" w:rsidP="001669FC">
      <w:pPr>
        <w:pStyle w:val="Listeafsnit"/>
        <w:numPr>
          <w:ilvl w:val="0"/>
          <w:numId w:val="10"/>
        </w:numPr>
        <w:rPr>
          <w:lang w:val="da-DK"/>
        </w:rPr>
      </w:pPr>
      <w:r>
        <w:rPr>
          <w:lang w:val="da-DK"/>
        </w:rPr>
        <w:t>Sammenhæng mellem pris og kvalitet</w:t>
      </w:r>
    </w:p>
    <w:p w14:paraId="1AF11FE8" w14:textId="3F873002" w:rsidR="00FA017C" w:rsidRDefault="00FA017C" w:rsidP="001669FC">
      <w:pPr>
        <w:pStyle w:val="Listeafsnit"/>
        <w:numPr>
          <w:ilvl w:val="0"/>
          <w:numId w:val="10"/>
        </w:numPr>
        <w:rPr>
          <w:lang w:val="da-DK"/>
        </w:rPr>
      </w:pPr>
      <w:r>
        <w:rPr>
          <w:lang w:val="da-DK"/>
        </w:rPr>
        <w:t>Et opgør med forråelse</w:t>
      </w:r>
    </w:p>
    <w:p w14:paraId="60E5D892" w14:textId="14818FBB" w:rsidR="00FA017C" w:rsidRDefault="00FA017C" w:rsidP="001669FC">
      <w:pPr>
        <w:pStyle w:val="Listeafsnit"/>
        <w:numPr>
          <w:ilvl w:val="0"/>
          <w:numId w:val="10"/>
        </w:numPr>
        <w:rPr>
          <w:lang w:val="da-DK"/>
        </w:rPr>
      </w:pPr>
      <w:r>
        <w:rPr>
          <w:lang w:val="da-DK"/>
        </w:rPr>
        <w:t>Det rigtige tilbud første gang</w:t>
      </w:r>
    </w:p>
    <w:p w14:paraId="77B81226" w14:textId="0AEC5C7B" w:rsidR="00FA017C" w:rsidRDefault="00FA017C" w:rsidP="001669FC">
      <w:pPr>
        <w:pStyle w:val="Listeafsnit"/>
        <w:numPr>
          <w:ilvl w:val="0"/>
          <w:numId w:val="10"/>
        </w:numPr>
        <w:rPr>
          <w:lang w:val="da-DK"/>
        </w:rPr>
      </w:pPr>
      <w:r>
        <w:rPr>
          <w:lang w:val="da-DK"/>
        </w:rPr>
        <w:t>Værgers kendskab til borgeren</w:t>
      </w:r>
    </w:p>
    <w:p w14:paraId="4CD48238" w14:textId="233801F0" w:rsidR="00FA017C" w:rsidRDefault="00FA017C" w:rsidP="001669FC">
      <w:pPr>
        <w:pStyle w:val="Listeafsnit"/>
        <w:numPr>
          <w:ilvl w:val="0"/>
          <w:numId w:val="10"/>
        </w:numPr>
        <w:rPr>
          <w:lang w:val="da-DK"/>
        </w:rPr>
      </w:pPr>
      <w:r>
        <w:rPr>
          <w:lang w:val="da-DK"/>
        </w:rPr>
        <w:t>Ændringer af reglerne om magtanvendelse</w:t>
      </w:r>
    </w:p>
    <w:p w14:paraId="77DF0739" w14:textId="43459BF5" w:rsidR="00FA017C" w:rsidRDefault="00FA017C" w:rsidP="001669FC">
      <w:pPr>
        <w:pStyle w:val="Listeafsnit"/>
        <w:numPr>
          <w:ilvl w:val="0"/>
          <w:numId w:val="10"/>
        </w:numPr>
        <w:rPr>
          <w:lang w:val="da-DK"/>
        </w:rPr>
      </w:pPr>
      <w:r>
        <w:rPr>
          <w:lang w:val="da-DK"/>
        </w:rPr>
        <w:t>Pengene skal bruges på mennesker.</w:t>
      </w:r>
    </w:p>
    <w:p w14:paraId="32C68614" w14:textId="77777777" w:rsidR="00FA017C" w:rsidRPr="001669FC" w:rsidRDefault="00FA017C" w:rsidP="00FA017C">
      <w:pPr>
        <w:pStyle w:val="Listeafsnit"/>
        <w:rPr>
          <w:lang w:val="da-DK"/>
        </w:rPr>
      </w:pPr>
    </w:p>
    <w:p w14:paraId="2E7C83A9" w14:textId="05128C6E" w:rsidR="00593E40" w:rsidRDefault="00861FF0" w:rsidP="00CD64F8">
      <w:pPr>
        <w:pStyle w:val="Listeafsnit"/>
        <w:ind w:left="360"/>
        <w:rPr>
          <w:lang w:val="da-DK"/>
        </w:rPr>
      </w:pPr>
      <w:r>
        <w:rPr>
          <w:lang w:val="da-DK"/>
        </w:rPr>
        <w:t>Initiativer</w:t>
      </w:r>
      <w:r w:rsidR="001C18F6">
        <w:rPr>
          <w:lang w:val="da-DK"/>
        </w:rPr>
        <w:t>ne</w:t>
      </w:r>
      <w:r>
        <w:rPr>
          <w:lang w:val="da-DK"/>
        </w:rPr>
        <w:t xml:space="preserve"> spænder over </w:t>
      </w:r>
      <w:r w:rsidR="009021F4">
        <w:rPr>
          <w:lang w:val="da-DK"/>
        </w:rPr>
        <w:t xml:space="preserve">nytænkning </w:t>
      </w:r>
      <w:r w:rsidR="0006573B">
        <w:rPr>
          <w:lang w:val="da-DK"/>
        </w:rPr>
        <w:t>af serviceloven</w:t>
      </w:r>
      <w:r w:rsidR="009021F4">
        <w:rPr>
          <w:lang w:val="da-DK"/>
        </w:rPr>
        <w:t xml:space="preserve">s bestemmelser indenfor </w:t>
      </w:r>
      <w:r w:rsidR="00F44642">
        <w:rPr>
          <w:lang w:val="da-DK"/>
        </w:rPr>
        <w:t>handicap</w:t>
      </w:r>
      <w:r w:rsidR="009021F4">
        <w:rPr>
          <w:lang w:val="da-DK"/>
        </w:rPr>
        <w:t>området</w:t>
      </w:r>
      <w:r w:rsidR="00F44642">
        <w:rPr>
          <w:lang w:val="da-DK"/>
        </w:rPr>
        <w:t>,</w:t>
      </w:r>
      <w:r w:rsidR="0006573B">
        <w:rPr>
          <w:lang w:val="da-DK"/>
        </w:rPr>
        <w:t xml:space="preserve"> til</w:t>
      </w:r>
      <w:r w:rsidR="00252B5A">
        <w:rPr>
          <w:lang w:val="da-DK"/>
        </w:rPr>
        <w:t xml:space="preserve"> krav om data og takstmodeller.</w:t>
      </w:r>
      <w:r w:rsidR="004B7094">
        <w:rPr>
          <w:lang w:val="da-DK"/>
        </w:rPr>
        <w:t xml:space="preserve"> Effekte</w:t>
      </w:r>
      <w:r w:rsidR="008A48A1">
        <w:rPr>
          <w:lang w:val="da-DK"/>
        </w:rPr>
        <w:t xml:space="preserve">n </w:t>
      </w:r>
      <w:r w:rsidR="00F44642">
        <w:rPr>
          <w:lang w:val="da-DK"/>
        </w:rPr>
        <w:t>må</w:t>
      </w:r>
      <w:r w:rsidR="008A48A1">
        <w:rPr>
          <w:lang w:val="da-DK"/>
        </w:rPr>
        <w:t xml:space="preserve"> vurderes løbende fra år til år, netop fordi initiativerne vil blive </w:t>
      </w:r>
      <w:r w:rsidR="003730E0">
        <w:rPr>
          <w:lang w:val="da-DK"/>
        </w:rPr>
        <w:t>vedtaget og igangsat på forskellige tidshorisonter og med meget forskellige forberedelsesarbejder</w:t>
      </w:r>
      <w:r w:rsidR="001C18F6">
        <w:rPr>
          <w:lang w:val="da-DK"/>
        </w:rPr>
        <w:t xml:space="preserve"> overordnet set.</w:t>
      </w:r>
      <w:r w:rsidR="0039785B">
        <w:rPr>
          <w:lang w:val="da-DK"/>
        </w:rPr>
        <w:t xml:space="preserve"> Der forventes ikke at være nogen effekt i 2025.</w:t>
      </w:r>
    </w:p>
    <w:p w14:paraId="64A70150" w14:textId="77777777" w:rsidR="00B012A9" w:rsidRDefault="00B012A9" w:rsidP="00CD64F8">
      <w:pPr>
        <w:pStyle w:val="Listeafsnit"/>
        <w:ind w:left="360"/>
        <w:rPr>
          <w:lang w:val="da-DK"/>
        </w:rPr>
      </w:pPr>
    </w:p>
    <w:p w14:paraId="64B7D477" w14:textId="1B9C16AD" w:rsidR="00872A3A" w:rsidRPr="00E50546" w:rsidRDefault="00593E40" w:rsidP="00CD64F8">
      <w:pPr>
        <w:pStyle w:val="Listeafsnit"/>
        <w:ind w:left="360"/>
        <w:rPr>
          <w:lang w:val="da-DK"/>
        </w:rPr>
      </w:pPr>
      <w:r>
        <w:rPr>
          <w:lang w:val="da-DK"/>
        </w:rPr>
        <w:t>Delaftalen</w:t>
      </w:r>
      <w:r w:rsidR="00415B6B">
        <w:rPr>
          <w:lang w:val="da-DK"/>
        </w:rPr>
        <w:t xml:space="preserve"> om det specialiserede socialområde</w:t>
      </w:r>
      <w:r>
        <w:rPr>
          <w:lang w:val="da-DK"/>
        </w:rPr>
        <w:t xml:space="preserve"> til Økonomiaftalen 2025 imellem Regeringen og KL</w:t>
      </w:r>
      <w:r w:rsidR="001C18F6">
        <w:rPr>
          <w:lang w:val="da-DK"/>
        </w:rPr>
        <w:t xml:space="preserve"> </w:t>
      </w:r>
      <w:r>
        <w:rPr>
          <w:lang w:val="da-DK"/>
        </w:rPr>
        <w:t xml:space="preserve">peger </w:t>
      </w:r>
      <w:r w:rsidR="00424B14">
        <w:rPr>
          <w:lang w:val="da-DK"/>
        </w:rPr>
        <w:t>primært p</w:t>
      </w:r>
      <w:r>
        <w:rPr>
          <w:lang w:val="da-DK"/>
        </w:rPr>
        <w:t xml:space="preserve">å udmøntninger </w:t>
      </w:r>
      <w:r w:rsidR="00424B14">
        <w:rPr>
          <w:lang w:val="da-DK"/>
        </w:rPr>
        <w:t xml:space="preserve">af </w:t>
      </w:r>
      <w:r>
        <w:rPr>
          <w:lang w:val="da-DK"/>
        </w:rPr>
        <w:t xml:space="preserve">ekspertudvalgets </w:t>
      </w:r>
      <w:r w:rsidRPr="00E50546">
        <w:rPr>
          <w:lang w:val="da-DK"/>
        </w:rPr>
        <w:t xml:space="preserve">anbefalinger. </w:t>
      </w:r>
      <w:r w:rsidR="00C47C18" w:rsidRPr="00E50546">
        <w:rPr>
          <w:lang w:val="da-DK"/>
        </w:rPr>
        <w:t>Aftalen indeholder på den baggrund en række tiltag, der samlet set skal øge det kommunale prioriteringsrum, skabe større tryghed og forudsigelighed for borgerne og reducere udgifterne på det specialiserede socialområde. Samtidig skal anbefalingerne bidrage til en bedre styring på socialområdet, så ressourcerne bruges bedst muligt og bidrager til en faglig og økonomisk bæredygtig udvikling</w:t>
      </w:r>
      <w:r w:rsidR="00F25D48">
        <w:rPr>
          <w:lang w:val="da-DK"/>
        </w:rPr>
        <w:t>.</w:t>
      </w:r>
    </w:p>
    <w:p w14:paraId="247E53D2" w14:textId="77777777" w:rsidR="00B744B7" w:rsidRDefault="00B744B7" w:rsidP="00CD64F8">
      <w:pPr>
        <w:pStyle w:val="Listeafsnit"/>
        <w:ind w:left="360"/>
        <w:rPr>
          <w:lang w:val="da-DK"/>
        </w:rPr>
      </w:pPr>
    </w:p>
    <w:p w14:paraId="65E68984" w14:textId="2F983950" w:rsidR="00934071" w:rsidRPr="00025FC1" w:rsidRDefault="00B52C99" w:rsidP="00B130AE">
      <w:pPr>
        <w:pStyle w:val="Listeafsnit"/>
        <w:ind w:left="360"/>
        <w:rPr>
          <w:lang w:val="da-DK"/>
        </w:rPr>
      </w:pPr>
      <w:r w:rsidRPr="00025FC1">
        <w:rPr>
          <w:lang w:val="da-DK"/>
        </w:rPr>
        <w:t>Hovedaftalen om kommunernes økonomi 2025 imellem Regeringen og KL</w:t>
      </w:r>
      <w:r w:rsidR="00F25D48" w:rsidRPr="00025FC1">
        <w:rPr>
          <w:lang w:val="da-DK"/>
        </w:rPr>
        <w:t xml:space="preserve"> lægger særligt vægt på styr</w:t>
      </w:r>
      <w:r w:rsidR="00B130AE" w:rsidRPr="00025FC1">
        <w:rPr>
          <w:lang w:val="da-DK"/>
        </w:rPr>
        <w:t>kelse af den borgernære velfærd under et</w:t>
      </w:r>
      <w:r w:rsidR="009344B9" w:rsidRPr="00025FC1">
        <w:rPr>
          <w:lang w:val="da-DK"/>
        </w:rPr>
        <w:t xml:space="preserve">. Derfor </w:t>
      </w:r>
      <w:r w:rsidR="00B130AE" w:rsidRPr="00025FC1">
        <w:rPr>
          <w:lang w:val="da-DK"/>
        </w:rPr>
        <w:t>forøges servicerammen med 3,4 mia. kr.</w:t>
      </w:r>
      <w:r w:rsidR="009344B9" w:rsidRPr="00025FC1">
        <w:rPr>
          <w:lang w:val="da-DK"/>
        </w:rPr>
        <w:t xml:space="preserve"> i 2025</w:t>
      </w:r>
      <w:r w:rsidR="007D5894">
        <w:rPr>
          <w:lang w:val="da-DK"/>
        </w:rPr>
        <w:t xml:space="preserve"> for kommunerne under et</w:t>
      </w:r>
      <w:r w:rsidR="00D11094" w:rsidRPr="00025FC1">
        <w:rPr>
          <w:lang w:val="da-DK"/>
        </w:rPr>
        <w:t>. D</w:t>
      </w:r>
      <w:r w:rsidR="009344B9" w:rsidRPr="00025FC1">
        <w:rPr>
          <w:lang w:val="da-DK"/>
        </w:rPr>
        <w:t xml:space="preserve">en afsatte anlægsramme på botilbudsområdet, som blev vedtaget med </w:t>
      </w:r>
      <w:r w:rsidR="00934071" w:rsidRPr="00025FC1">
        <w:rPr>
          <w:lang w:val="da-DK"/>
        </w:rPr>
        <w:t>økonomiaftalen 20</w:t>
      </w:r>
      <w:r w:rsidR="009344B9" w:rsidRPr="00025FC1">
        <w:rPr>
          <w:lang w:val="da-DK"/>
        </w:rPr>
        <w:t>24, fortsættes i sin oprindelige form. På den længere bane skal der gennemføres en række store reformer og politiske aftaler, der skal ske en frisættelse af velfærdsområderne, ligesom der skal rettes</w:t>
      </w:r>
      <w:r w:rsidR="00934071" w:rsidRPr="00025FC1">
        <w:rPr>
          <w:lang w:val="da-DK"/>
        </w:rPr>
        <w:t xml:space="preserve"> endnu mere</w:t>
      </w:r>
      <w:r w:rsidR="009344B9" w:rsidRPr="00025FC1">
        <w:rPr>
          <w:lang w:val="da-DK"/>
        </w:rPr>
        <w:t xml:space="preserve"> fokus på digitalisering.</w:t>
      </w:r>
      <w:r w:rsidR="00934071" w:rsidRPr="00025FC1">
        <w:rPr>
          <w:lang w:val="da-DK"/>
        </w:rPr>
        <w:t xml:space="preserve"> </w:t>
      </w:r>
    </w:p>
    <w:p w14:paraId="3CD56B9B" w14:textId="77777777" w:rsidR="00934071" w:rsidRPr="00025FC1" w:rsidRDefault="00934071" w:rsidP="00B130AE">
      <w:pPr>
        <w:pStyle w:val="Listeafsnit"/>
        <w:ind w:left="360"/>
        <w:rPr>
          <w:lang w:val="da-DK"/>
        </w:rPr>
      </w:pPr>
    </w:p>
    <w:p w14:paraId="3F3F7E0C" w14:textId="6C83E2AF" w:rsidR="00B130AE" w:rsidRDefault="00934071" w:rsidP="00B130AE">
      <w:pPr>
        <w:pStyle w:val="Listeafsnit"/>
        <w:ind w:left="360"/>
        <w:rPr>
          <w:lang w:val="da-DK"/>
        </w:rPr>
      </w:pPr>
      <w:r w:rsidRPr="00025FC1">
        <w:rPr>
          <w:lang w:val="da-DK"/>
        </w:rPr>
        <w:t xml:space="preserve">Disse tiltag vil få betydning for det specialiserede områdes økonomi, men det vil på nuværende tidspunkt ikke være muligt at komme med kvalificerede bud på de økonomiske effekter, dog forventes det ikke at der vil kunne ses en effekt allerede i 2025. Der vil dog </w:t>
      </w:r>
      <w:r w:rsidR="00D11094" w:rsidRPr="00025FC1">
        <w:rPr>
          <w:lang w:val="da-DK"/>
        </w:rPr>
        <w:t>skulle</w:t>
      </w:r>
      <w:r w:rsidRPr="00025FC1">
        <w:rPr>
          <w:lang w:val="da-DK"/>
        </w:rPr>
        <w:t xml:space="preserve"> bruges en del ressourcer til implementeringer og justeringer løbende og allerede fra nu, fx i forhold til de </w:t>
      </w:r>
      <w:r w:rsidR="00D11094" w:rsidRPr="00025FC1">
        <w:rPr>
          <w:lang w:val="da-DK"/>
        </w:rPr>
        <w:t>tiltag</w:t>
      </w:r>
      <w:r w:rsidRPr="00025FC1">
        <w:rPr>
          <w:lang w:val="da-DK"/>
        </w:rPr>
        <w:t xml:space="preserve"> som er afhængige af data, metoder og tilrettelæggelse.</w:t>
      </w:r>
    </w:p>
    <w:p w14:paraId="1E9A7040" w14:textId="77777777" w:rsidR="00B130AE" w:rsidRDefault="00B130AE" w:rsidP="00B130AE">
      <w:pPr>
        <w:pStyle w:val="Listeafsnit"/>
        <w:ind w:left="360"/>
        <w:rPr>
          <w:lang w:val="da-DK"/>
        </w:rPr>
      </w:pPr>
    </w:p>
    <w:p w14:paraId="5E3D3ED3" w14:textId="6E06730B" w:rsidR="00EB7641" w:rsidRDefault="00EB7641" w:rsidP="00EB7641">
      <w:pPr>
        <w:pStyle w:val="Listeafsnit"/>
        <w:numPr>
          <w:ilvl w:val="0"/>
          <w:numId w:val="6"/>
        </w:numPr>
        <w:rPr>
          <w:rFonts w:ascii="Arial" w:hAnsi="Arial" w:cs="Arial"/>
          <w:b/>
          <w:bCs/>
          <w:sz w:val="24"/>
          <w:szCs w:val="24"/>
        </w:rPr>
      </w:pPr>
      <w:proofErr w:type="spellStart"/>
      <w:r w:rsidRPr="00EB7641">
        <w:rPr>
          <w:rFonts w:ascii="Arial" w:hAnsi="Arial" w:cs="Arial"/>
          <w:b/>
          <w:bCs/>
          <w:sz w:val="24"/>
          <w:szCs w:val="24"/>
        </w:rPr>
        <w:t>Budgetforudsætninger</w:t>
      </w:r>
      <w:proofErr w:type="spellEnd"/>
      <w:r w:rsidRPr="00EB7641">
        <w:rPr>
          <w:rFonts w:ascii="Arial" w:hAnsi="Arial" w:cs="Arial"/>
          <w:b/>
          <w:bCs/>
          <w:sz w:val="24"/>
          <w:szCs w:val="24"/>
        </w:rPr>
        <w:t xml:space="preserve"> 2025-2028</w:t>
      </w:r>
    </w:p>
    <w:p w14:paraId="1D621342" w14:textId="77777777" w:rsidR="00F95210" w:rsidRPr="00EB7641" w:rsidRDefault="00F95210" w:rsidP="00F95210">
      <w:pPr>
        <w:pStyle w:val="Listeafsnit"/>
        <w:ind w:left="360"/>
        <w:rPr>
          <w:rFonts w:ascii="Arial" w:hAnsi="Arial" w:cs="Arial"/>
          <w:b/>
          <w:bCs/>
          <w:sz w:val="24"/>
          <w:szCs w:val="24"/>
        </w:rPr>
      </w:pPr>
    </w:p>
    <w:p w14:paraId="60FB982F" w14:textId="4A70AFD3" w:rsidR="00EB7641" w:rsidRPr="00982D89" w:rsidRDefault="00EB7641" w:rsidP="00EB7641">
      <w:pPr>
        <w:pStyle w:val="Listeafsnit"/>
        <w:ind w:left="360"/>
        <w:rPr>
          <w:lang w:val="da-DK"/>
        </w:rPr>
      </w:pPr>
      <w:r w:rsidRPr="00982D89">
        <w:rPr>
          <w:lang w:val="da-DK"/>
        </w:rPr>
        <w:t xml:space="preserve">Voksenspecialenhedens </w:t>
      </w:r>
      <w:r w:rsidR="003118C0" w:rsidRPr="00982D89">
        <w:rPr>
          <w:lang w:val="da-DK"/>
        </w:rPr>
        <w:t>forbrug er som på landsplan primæ</w:t>
      </w:r>
      <w:r w:rsidRPr="00982D89">
        <w:rPr>
          <w:lang w:val="da-DK"/>
        </w:rPr>
        <w:t>rt udfordret af</w:t>
      </w:r>
      <w:r w:rsidR="002E40C2" w:rsidRPr="00982D89">
        <w:rPr>
          <w:lang w:val="da-DK"/>
        </w:rPr>
        <w:t xml:space="preserve"> en</w:t>
      </w:r>
      <w:r w:rsidRPr="00982D89">
        <w:rPr>
          <w:lang w:val="da-DK"/>
        </w:rPr>
        <w:t xml:space="preserve"> kompleksitet i </w:t>
      </w:r>
      <w:r w:rsidR="002E40C2" w:rsidRPr="00982D89">
        <w:rPr>
          <w:lang w:val="da-DK"/>
        </w:rPr>
        <w:t xml:space="preserve">en del </w:t>
      </w:r>
      <w:r w:rsidRPr="00982D89">
        <w:rPr>
          <w:lang w:val="da-DK"/>
        </w:rPr>
        <w:t xml:space="preserve">sager, som betyder at der skal gives omfattende indsatser til nogle borgere. Det er altså ikke så meget mængden af sager, som påvirker </w:t>
      </w:r>
      <w:r w:rsidR="003118C0" w:rsidRPr="00982D89">
        <w:rPr>
          <w:lang w:val="da-DK"/>
        </w:rPr>
        <w:t>udviklingen i udgifterne, men derimod stigende udgifter i de respektive sager</w:t>
      </w:r>
      <w:r w:rsidRPr="00982D89">
        <w:rPr>
          <w:lang w:val="da-DK"/>
        </w:rPr>
        <w:t>.</w:t>
      </w:r>
    </w:p>
    <w:p w14:paraId="62589CFC" w14:textId="77777777" w:rsidR="004B6878" w:rsidRPr="00982D89" w:rsidRDefault="004B6878" w:rsidP="00EB7641">
      <w:pPr>
        <w:pStyle w:val="Listeafsnit"/>
        <w:ind w:left="360"/>
        <w:rPr>
          <w:lang w:val="da-DK"/>
        </w:rPr>
      </w:pPr>
    </w:p>
    <w:p w14:paraId="2EE816CD" w14:textId="5DD27977" w:rsidR="003118C0" w:rsidRPr="00982D89" w:rsidRDefault="003118C0" w:rsidP="00EB7641">
      <w:pPr>
        <w:pStyle w:val="Listeafsnit"/>
        <w:ind w:left="360"/>
        <w:rPr>
          <w:lang w:val="da-DK"/>
        </w:rPr>
      </w:pPr>
      <w:r w:rsidRPr="00982D89">
        <w:rPr>
          <w:lang w:val="da-DK"/>
        </w:rPr>
        <w:t>Voksenspecialenheden forventer en forskydning i antallet af sager fra midlertidige botilbud til længerevarende botilbud, særlig</w:t>
      </w:r>
      <w:r w:rsidR="002E40C2" w:rsidRPr="00982D89">
        <w:rPr>
          <w:lang w:val="da-DK"/>
        </w:rPr>
        <w:t>t</w:t>
      </w:r>
      <w:r w:rsidRPr="00982D89">
        <w:rPr>
          <w:lang w:val="da-DK"/>
        </w:rPr>
        <w:t xml:space="preserve"> fordi enkelte særligt dyre sager, skal overføres </w:t>
      </w:r>
      <w:r w:rsidR="002E40C2" w:rsidRPr="00982D89">
        <w:rPr>
          <w:lang w:val="da-DK"/>
        </w:rPr>
        <w:t>imellem de 2 indsatser på baggrund af domme afsagt af domstolene i 2024. Altså ligger det forventede merforbrug primært i botilbudsområdet, hvor de fleste andre områder indenfor Voksenspecialenhedens regi stort set forventes at være uændrede.</w:t>
      </w:r>
    </w:p>
    <w:p w14:paraId="4B4C2253" w14:textId="77777777" w:rsidR="002E40C2" w:rsidRPr="00982D89" w:rsidRDefault="002E40C2" w:rsidP="002E40C2">
      <w:pPr>
        <w:pStyle w:val="Listeafsnit"/>
        <w:ind w:left="360"/>
        <w:rPr>
          <w:lang w:val="da-DK"/>
        </w:rPr>
      </w:pPr>
    </w:p>
    <w:p w14:paraId="089567F9" w14:textId="7DECEC2C" w:rsidR="002E40C2" w:rsidRDefault="002E40C2" w:rsidP="002E40C2">
      <w:pPr>
        <w:pStyle w:val="Listeafsnit"/>
        <w:ind w:left="360"/>
        <w:rPr>
          <w:lang w:val="da-DK"/>
        </w:rPr>
      </w:pPr>
      <w:r w:rsidRPr="00982D89">
        <w:rPr>
          <w:lang w:val="da-DK"/>
        </w:rPr>
        <w:t xml:space="preserve">På den baggrund forventes det med udgangspunkt i udviklingen </w:t>
      </w:r>
      <w:r w:rsidR="000F6370">
        <w:rPr>
          <w:lang w:val="da-DK"/>
        </w:rPr>
        <w:t>til og med juni</w:t>
      </w:r>
      <w:r w:rsidRPr="00982D89">
        <w:rPr>
          <w:lang w:val="da-DK"/>
        </w:rPr>
        <w:t xml:space="preserve"> 2024 og beregnet prognose for 2025, at der vil være et behov for en tilførsel til budgettet på </w:t>
      </w:r>
      <w:r w:rsidR="000F6370">
        <w:rPr>
          <w:lang w:val="da-DK"/>
        </w:rPr>
        <w:t>6,3</w:t>
      </w:r>
      <w:r w:rsidRPr="00982D89">
        <w:rPr>
          <w:lang w:val="da-DK"/>
        </w:rPr>
        <w:t xml:space="preserve"> mio. kr.</w:t>
      </w:r>
    </w:p>
    <w:p w14:paraId="405A84E7" w14:textId="7F400F18" w:rsidR="002E40C2" w:rsidRDefault="002E40C2" w:rsidP="00EB7641">
      <w:pPr>
        <w:pStyle w:val="Listeafsnit"/>
        <w:ind w:left="360"/>
        <w:rPr>
          <w:lang w:val="da-DK"/>
        </w:rPr>
      </w:pPr>
    </w:p>
    <w:p w14:paraId="2F0A2395" w14:textId="77777777" w:rsidR="00EB7641" w:rsidRDefault="00EB7641" w:rsidP="00EB7641">
      <w:pPr>
        <w:rPr>
          <w:rFonts w:ascii="Arial" w:hAnsi="Arial" w:cs="Arial"/>
          <w:color w:val="0070C0"/>
          <w:sz w:val="24"/>
          <w:szCs w:val="24"/>
        </w:rPr>
      </w:pPr>
    </w:p>
    <w:p w14:paraId="25CF2C64" w14:textId="77777777" w:rsidR="00EB7641" w:rsidRDefault="00EB7641" w:rsidP="00B130AE">
      <w:pPr>
        <w:pStyle w:val="Listeafsnit"/>
        <w:ind w:left="360"/>
        <w:rPr>
          <w:lang w:val="da-DK"/>
        </w:rPr>
      </w:pPr>
    </w:p>
    <w:p w14:paraId="0A0E9058" w14:textId="77777777" w:rsidR="00EB7641" w:rsidRPr="00B130AE" w:rsidRDefault="00EB7641" w:rsidP="00B130AE">
      <w:pPr>
        <w:pStyle w:val="Listeafsnit"/>
        <w:ind w:left="360"/>
        <w:rPr>
          <w:lang w:val="da-DK"/>
        </w:rPr>
      </w:pPr>
    </w:p>
    <w:p w14:paraId="3DA11C9D" w14:textId="2D45E2D2" w:rsidR="003C7075" w:rsidRPr="00CD64F8" w:rsidRDefault="003C7075" w:rsidP="001E5BCB">
      <w:pPr>
        <w:pStyle w:val="Listeafsnit"/>
        <w:numPr>
          <w:ilvl w:val="0"/>
          <w:numId w:val="6"/>
        </w:numPr>
        <w:rPr>
          <w:rFonts w:ascii="Arial" w:hAnsi="Arial" w:cs="Arial"/>
          <w:b/>
          <w:bCs/>
          <w:sz w:val="24"/>
          <w:szCs w:val="24"/>
          <w:lang w:val="da-DK"/>
        </w:rPr>
      </w:pPr>
      <w:r w:rsidRPr="00CD64F8">
        <w:rPr>
          <w:rFonts w:ascii="Arial" w:hAnsi="Arial" w:cs="Arial"/>
          <w:b/>
          <w:bCs/>
          <w:sz w:val="24"/>
          <w:szCs w:val="24"/>
          <w:lang w:val="da-DK"/>
        </w:rPr>
        <w:t>Risikovurdering</w:t>
      </w:r>
      <w:r w:rsidR="00FF5801" w:rsidRPr="00CD64F8">
        <w:rPr>
          <w:rFonts w:ascii="Arial" w:hAnsi="Arial" w:cs="Arial"/>
          <w:b/>
          <w:bCs/>
          <w:sz w:val="24"/>
          <w:szCs w:val="24"/>
          <w:lang w:val="da-DK"/>
        </w:rPr>
        <w:t xml:space="preserve"> </w:t>
      </w:r>
      <w:r w:rsidR="001E5BCB" w:rsidRPr="00CD64F8">
        <w:rPr>
          <w:rFonts w:ascii="Arial" w:hAnsi="Arial" w:cs="Arial"/>
          <w:b/>
          <w:bCs/>
          <w:sz w:val="24"/>
          <w:szCs w:val="24"/>
          <w:lang w:val="da-DK"/>
        </w:rPr>
        <w:t>i</w:t>
      </w:r>
      <w:r w:rsidR="00FF5801" w:rsidRPr="00CD64F8">
        <w:rPr>
          <w:rFonts w:ascii="Arial" w:hAnsi="Arial" w:cs="Arial"/>
          <w:b/>
          <w:bCs/>
          <w:sz w:val="24"/>
          <w:szCs w:val="24"/>
          <w:lang w:val="da-DK"/>
        </w:rPr>
        <w:t xml:space="preserve"> forhold til budgetoverholdelse</w:t>
      </w:r>
    </w:p>
    <w:p w14:paraId="758893FF" w14:textId="12EEFD09" w:rsidR="001C281C" w:rsidRDefault="00B52C99" w:rsidP="001C281C">
      <w:pPr>
        <w:rPr>
          <w:rFonts w:asciiTheme="minorHAnsi" w:hAnsiTheme="minorHAnsi"/>
          <w:b/>
          <w:bCs/>
          <w:spacing w:val="0"/>
          <w:kern w:val="2"/>
          <w14:ligatures w14:val="standardContextual"/>
        </w:rPr>
      </w:pPr>
      <w:proofErr w:type="spellStart"/>
      <w:r w:rsidRPr="00FF7227">
        <w:rPr>
          <w:rFonts w:asciiTheme="minorHAnsi" w:hAnsiTheme="minorHAnsi"/>
          <w:b/>
          <w:bCs/>
          <w:spacing w:val="0"/>
          <w:kern w:val="2"/>
          <w14:ligatures w14:val="standardContextual"/>
        </w:rPr>
        <w:t>Housing</w:t>
      </w:r>
      <w:proofErr w:type="spellEnd"/>
      <w:r w:rsidRPr="00FF7227">
        <w:rPr>
          <w:rFonts w:asciiTheme="minorHAnsi" w:hAnsiTheme="minorHAnsi"/>
          <w:b/>
          <w:bCs/>
          <w:spacing w:val="0"/>
          <w:kern w:val="2"/>
          <w14:ligatures w14:val="standardContextual"/>
        </w:rPr>
        <w:t xml:space="preserve"> </w:t>
      </w:r>
      <w:proofErr w:type="spellStart"/>
      <w:r w:rsidRPr="00FF7227">
        <w:rPr>
          <w:rFonts w:asciiTheme="minorHAnsi" w:hAnsiTheme="minorHAnsi"/>
          <w:b/>
          <w:bCs/>
          <w:spacing w:val="0"/>
          <w:kern w:val="2"/>
          <w14:ligatures w14:val="standardContextual"/>
        </w:rPr>
        <w:t>f</w:t>
      </w:r>
      <w:r w:rsidR="002912DF" w:rsidRPr="00FF7227">
        <w:rPr>
          <w:rFonts w:asciiTheme="minorHAnsi" w:hAnsiTheme="minorHAnsi"/>
          <w:b/>
          <w:bCs/>
          <w:spacing w:val="0"/>
          <w:kern w:val="2"/>
          <w14:ligatures w14:val="standardContextual"/>
        </w:rPr>
        <w:t>irst</w:t>
      </w:r>
      <w:proofErr w:type="spellEnd"/>
    </w:p>
    <w:p w14:paraId="5987DEA4" w14:textId="1DE3D364" w:rsidR="00FF7227" w:rsidRDefault="00FF7227" w:rsidP="001C281C">
      <w:pPr>
        <w:rPr>
          <w:rFonts w:asciiTheme="minorHAnsi" w:hAnsiTheme="minorHAnsi"/>
          <w:spacing w:val="0"/>
          <w:kern w:val="2"/>
          <w14:ligatures w14:val="standardContextual"/>
        </w:rPr>
      </w:pPr>
      <w:r>
        <w:rPr>
          <w:rFonts w:asciiTheme="minorHAnsi" w:hAnsiTheme="minorHAnsi"/>
          <w:spacing w:val="0"/>
          <w:kern w:val="2"/>
          <w14:ligatures w14:val="standardContextual"/>
        </w:rPr>
        <w:t>Hjemløsestrategien blev vedtaget i 2023</w:t>
      </w:r>
      <w:r w:rsidR="00632FAE">
        <w:rPr>
          <w:rFonts w:asciiTheme="minorHAnsi" w:hAnsiTheme="minorHAnsi"/>
          <w:spacing w:val="0"/>
          <w:kern w:val="2"/>
          <w14:ligatures w14:val="standardContextual"/>
        </w:rPr>
        <w:t xml:space="preserve"> og trådte i kraft den 1. oktober d.å. </w:t>
      </w:r>
      <w:r w:rsidR="006D230F">
        <w:rPr>
          <w:rFonts w:asciiTheme="minorHAnsi" w:hAnsiTheme="minorHAnsi"/>
          <w:spacing w:val="0"/>
          <w:kern w:val="2"/>
          <w14:ligatures w14:val="standardContextual"/>
        </w:rPr>
        <w:t>Udviklingen følges nøje i 2024 og udsigterne her er</w:t>
      </w:r>
      <w:r w:rsidR="00E914DD">
        <w:rPr>
          <w:rFonts w:asciiTheme="minorHAnsi" w:hAnsiTheme="minorHAnsi"/>
          <w:spacing w:val="0"/>
          <w:kern w:val="2"/>
          <w14:ligatures w14:val="standardContextual"/>
        </w:rPr>
        <w:t>,</w:t>
      </w:r>
      <w:r w:rsidR="006D230F">
        <w:rPr>
          <w:rFonts w:asciiTheme="minorHAnsi" w:hAnsiTheme="minorHAnsi"/>
          <w:spacing w:val="0"/>
          <w:kern w:val="2"/>
          <w14:ligatures w14:val="standardContextual"/>
        </w:rPr>
        <w:t xml:space="preserve"> at der kan være risiko for at Voksenspecialenheden har et større refusionsbortfald</w:t>
      </w:r>
      <w:r w:rsidR="00E914DD">
        <w:rPr>
          <w:rFonts w:asciiTheme="minorHAnsi" w:hAnsiTheme="minorHAnsi"/>
          <w:spacing w:val="0"/>
          <w:kern w:val="2"/>
          <w14:ligatures w14:val="standardContextual"/>
        </w:rPr>
        <w:t xml:space="preserve"> end det som er </w:t>
      </w:r>
      <w:r w:rsidR="00BE7186">
        <w:rPr>
          <w:rFonts w:asciiTheme="minorHAnsi" w:hAnsiTheme="minorHAnsi"/>
          <w:spacing w:val="0"/>
          <w:kern w:val="2"/>
          <w14:ligatures w14:val="standardContextual"/>
        </w:rPr>
        <w:t>kompenseret via</w:t>
      </w:r>
      <w:r w:rsidR="00E914DD">
        <w:rPr>
          <w:rFonts w:asciiTheme="minorHAnsi" w:hAnsiTheme="minorHAnsi"/>
          <w:spacing w:val="0"/>
          <w:kern w:val="2"/>
          <w14:ligatures w14:val="standardContextual"/>
        </w:rPr>
        <w:t xml:space="preserve"> DUT-midler. </w:t>
      </w:r>
      <w:r w:rsidR="009E4300">
        <w:rPr>
          <w:rFonts w:asciiTheme="minorHAnsi" w:hAnsiTheme="minorHAnsi"/>
          <w:spacing w:val="0"/>
          <w:kern w:val="2"/>
          <w14:ligatures w14:val="standardContextual"/>
        </w:rPr>
        <w:t xml:space="preserve">Der arbejdes målrettet med sagsbehandlingen omkring hjemløse og </w:t>
      </w:r>
      <w:r w:rsidR="00AA0EC2">
        <w:rPr>
          <w:rFonts w:asciiTheme="minorHAnsi" w:hAnsiTheme="minorHAnsi"/>
          <w:spacing w:val="0"/>
          <w:kern w:val="2"/>
          <w14:ligatures w14:val="standardContextual"/>
        </w:rPr>
        <w:t xml:space="preserve">med </w:t>
      </w:r>
      <w:proofErr w:type="spellStart"/>
      <w:r w:rsidR="00AA0EC2">
        <w:rPr>
          <w:rFonts w:asciiTheme="minorHAnsi" w:hAnsiTheme="minorHAnsi"/>
          <w:spacing w:val="0"/>
          <w:kern w:val="2"/>
          <w14:ligatures w14:val="standardContextual"/>
        </w:rPr>
        <w:t>Housing</w:t>
      </w:r>
      <w:proofErr w:type="spellEnd"/>
      <w:r w:rsidR="00AA0EC2">
        <w:rPr>
          <w:rFonts w:asciiTheme="minorHAnsi" w:hAnsiTheme="minorHAnsi"/>
          <w:spacing w:val="0"/>
          <w:kern w:val="2"/>
          <w14:ligatures w14:val="standardContextual"/>
        </w:rPr>
        <w:t xml:space="preserve"> First i Center 2. </w:t>
      </w:r>
      <w:r w:rsidR="00F37EAB">
        <w:rPr>
          <w:rFonts w:asciiTheme="minorHAnsi" w:hAnsiTheme="minorHAnsi"/>
          <w:spacing w:val="0"/>
          <w:kern w:val="2"/>
          <w14:ligatures w14:val="standardContextual"/>
        </w:rPr>
        <w:t>Den store udfordring indenfor hjemløseområdet, er at finde egnede boliger, som borgerne rent faktisk har råd til</w:t>
      </w:r>
      <w:r w:rsidR="003E4197">
        <w:rPr>
          <w:rFonts w:asciiTheme="minorHAnsi" w:hAnsiTheme="minorHAnsi"/>
          <w:spacing w:val="0"/>
          <w:kern w:val="2"/>
          <w14:ligatures w14:val="standardContextual"/>
        </w:rPr>
        <w:t xml:space="preserve">, </w:t>
      </w:r>
      <w:r w:rsidR="00334ED4">
        <w:rPr>
          <w:rFonts w:asciiTheme="minorHAnsi" w:hAnsiTheme="minorHAnsi"/>
          <w:spacing w:val="0"/>
          <w:kern w:val="2"/>
          <w14:ligatures w14:val="standardContextual"/>
        </w:rPr>
        <w:t>og</w:t>
      </w:r>
      <w:r w:rsidR="003E4197">
        <w:rPr>
          <w:rFonts w:asciiTheme="minorHAnsi" w:hAnsiTheme="minorHAnsi"/>
          <w:spacing w:val="0"/>
          <w:kern w:val="2"/>
          <w14:ligatures w14:val="standardContextual"/>
        </w:rPr>
        <w:t xml:space="preserve"> selvom d</w:t>
      </w:r>
      <w:r w:rsidR="00975715">
        <w:rPr>
          <w:rFonts w:asciiTheme="minorHAnsi" w:hAnsiTheme="minorHAnsi"/>
          <w:spacing w:val="0"/>
          <w:kern w:val="2"/>
          <w14:ligatures w14:val="standardContextual"/>
        </w:rPr>
        <w:t xml:space="preserve">er </w:t>
      </w:r>
      <w:r w:rsidR="00A268ED">
        <w:rPr>
          <w:rFonts w:asciiTheme="minorHAnsi" w:hAnsiTheme="minorHAnsi"/>
          <w:spacing w:val="0"/>
          <w:kern w:val="2"/>
          <w14:ligatures w14:val="standardContextual"/>
        </w:rPr>
        <w:t xml:space="preserve">i forbindelse med </w:t>
      </w:r>
      <w:r w:rsidR="00BC5A7F">
        <w:rPr>
          <w:rFonts w:asciiTheme="minorHAnsi" w:hAnsiTheme="minorHAnsi"/>
          <w:spacing w:val="0"/>
          <w:kern w:val="2"/>
          <w14:ligatures w14:val="standardContextual"/>
        </w:rPr>
        <w:t xml:space="preserve">resultaterne af </w:t>
      </w:r>
      <w:r w:rsidR="00A268ED">
        <w:rPr>
          <w:rFonts w:asciiTheme="minorHAnsi" w:hAnsiTheme="minorHAnsi"/>
          <w:spacing w:val="0"/>
          <w:kern w:val="2"/>
          <w14:ligatures w14:val="standardContextual"/>
        </w:rPr>
        <w:t>pro</w:t>
      </w:r>
      <w:r w:rsidR="003864A0">
        <w:rPr>
          <w:rFonts w:asciiTheme="minorHAnsi" w:hAnsiTheme="minorHAnsi"/>
          <w:spacing w:val="0"/>
          <w:kern w:val="2"/>
          <w14:ligatures w14:val="standardContextual"/>
        </w:rPr>
        <w:t xml:space="preserve">jekt Fremtidens Sociale Boliganvisning </w:t>
      </w:r>
      <w:r w:rsidR="00334ED4">
        <w:rPr>
          <w:rFonts w:asciiTheme="minorHAnsi" w:hAnsiTheme="minorHAnsi"/>
          <w:spacing w:val="0"/>
          <w:kern w:val="2"/>
          <w14:ligatures w14:val="standardContextual"/>
        </w:rPr>
        <w:t xml:space="preserve">nu </w:t>
      </w:r>
      <w:r w:rsidR="00975715">
        <w:rPr>
          <w:rFonts w:asciiTheme="minorHAnsi" w:hAnsiTheme="minorHAnsi"/>
          <w:spacing w:val="0"/>
          <w:kern w:val="2"/>
          <w14:ligatures w14:val="standardContextual"/>
        </w:rPr>
        <w:t xml:space="preserve">er </w:t>
      </w:r>
      <w:r w:rsidR="00A0270C">
        <w:rPr>
          <w:rFonts w:asciiTheme="minorHAnsi" w:hAnsiTheme="minorHAnsi"/>
          <w:spacing w:val="0"/>
          <w:kern w:val="2"/>
          <w14:ligatures w14:val="standardContextual"/>
        </w:rPr>
        <w:t>et betydeligt bedre flow i anvendelsen af anvisningsberettigede boliger i boligselskaberne</w:t>
      </w:r>
      <w:r w:rsidR="003E4197">
        <w:rPr>
          <w:rFonts w:asciiTheme="minorHAnsi" w:hAnsiTheme="minorHAnsi"/>
          <w:spacing w:val="0"/>
          <w:kern w:val="2"/>
          <w14:ligatures w14:val="standardContextual"/>
        </w:rPr>
        <w:t>, kan det</w:t>
      </w:r>
      <w:r w:rsidR="0092571D">
        <w:rPr>
          <w:rFonts w:asciiTheme="minorHAnsi" w:hAnsiTheme="minorHAnsi"/>
          <w:spacing w:val="0"/>
          <w:kern w:val="2"/>
          <w14:ligatures w14:val="standardContextual"/>
        </w:rPr>
        <w:t xml:space="preserve"> fortsat</w:t>
      </w:r>
      <w:r w:rsidR="003E4197">
        <w:rPr>
          <w:rFonts w:asciiTheme="minorHAnsi" w:hAnsiTheme="minorHAnsi"/>
          <w:spacing w:val="0"/>
          <w:kern w:val="2"/>
          <w14:ligatures w14:val="standardContextual"/>
        </w:rPr>
        <w:t xml:space="preserve"> vise sig at være den største udfordring i forhold til at kunne hjælpe borgere videre og dermed </w:t>
      </w:r>
      <w:r w:rsidR="006E4FD9">
        <w:rPr>
          <w:rFonts w:asciiTheme="minorHAnsi" w:hAnsiTheme="minorHAnsi"/>
          <w:spacing w:val="0"/>
          <w:kern w:val="2"/>
          <w14:ligatures w14:val="standardContextual"/>
        </w:rPr>
        <w:t>reducere udgifter og refusionsbortfald på området</w:t>
      </w:r>
      <w:r w:rsidR="0092571D">
        <w:rPr>
          <w:rFonts w:asciiTheme="minorHAnsi" w:hAnsiTheme="minorHAnsi"/>
          <w:spacing w:val="0"/>
          <w:kern w:val="2"/>
          <w14:ligatures w14:val="standardContextual"/>
        </w:rPr>
        <w:t>.</w:t>
      </w:r>
    </w:p>
    <w:p w14:paraId="384CAC2A" w14:textId="77777777" w:rsidR="006E4FD9" w:rsidRPr="00FF7227" w:rsidRDefault="006E4FD9" w:rsidP="001C281C">
      <w:pPr>
        <w:rPr>
          <w:rFonts w:asciiTheme="minorHAnsi" w:hAnsiTheme="minorHAnsi"/>
          <w:spacing w:val="0"/>
          <w:kern w:val="2"/>
          <w14:ligatures w14:val="standardContextual"/>
        </w:rPr>
      </w:pPr>
    </w:p>
    <w:p w14:paraId="188A5A44" w14:textId="730A00F8" w:rsidR="002912DF" w:rsidRDefault="002912DF" w:rsidP="001C281C">
      <w:pPr>
        <w:rPr>
          <w:rFonts w:asciiTheme="minorHAnsi" w:hAnsiTheme="minorHAnsi"/>
          <w:b/>
          <w:bCs/>
          <w:spacing w:val="0"/>
          <w:kern w:val="2"/>
          <w14:ligatures w14:val="standardContextual"/>
        </w:rPr>
      </w:pPr>
      <w:r w:rsidRPr="00FF7227">
        <w:rPr>
          <w:rFonts w:asciiTheme="minorHAnsi" w:hAnsiTheme="minorHAnsi"/>
          <w:b/>
          <w:bCs/>
          <w:spacing w:val="0"/>
          <w:kern w:val="2"/>
          <w14:ligatures w14:val="standardContextual"/>
        </w:rPr>
        <w:t>Manglende afgang</w:t>
      </w:r>
    </w:p>
    <w:p w14:paraId="6A72FC1B" w14:textId="3D6F80E8" w:rsidR="006E4FD9" w:rsidRDefault="006E4FD9" w:rsidP="001C281C">
      <w:pPr>
        <w:rPr>
          <w:rFonts w:asciiTheme="minorHAnsi" w:hAnsiTheme="minorHAnsi"/>
          <w:spacing w:val="0"/>
          <w:kern w:val="2"/>
          <w14:ligatures w14:val="standardContextual"/>
        </w:rPr>
      </w:pPr>
      <w:r>
        <w:rPr>
          <w:rFonts w:asciiTheme="minorHAnsi" w:hAnsiTheme="minorHAnsi"/>
          <w:spacing w:val="0"/>
          <w:kern w:val="2"/>
          <w14:ligatures w14:val="standardContextual"/>
        </w:rPr>
        <w:t xml:space="preserve">2024 har hidtil som 2023 vist sig at være årene hvor der ikke </w:t>
      </w:r>
      <w:r w:rsidR="005F1BEC">
        <w:rPr>
          <w:rFonts w:asciiTheme="minorHAnsi" w:hAnsiTheme="minorHAnsi"/>
          <w:spacing w:val="0"/>
          <w:kern w:val="2"/>
          <w14:ligatures w14:val="standardContextual"/>
        </w:rPr>
        <w:t>sker nævneværdig naturlig afgang. De</w:t>
      </w:r>
      <w:r w:rsidR="004E1A1A">
        <w:rPr>
          <w:rFonts w:asciiTheme="minorHAnsi" w:hAnsiTheme="minorHAnsi"/>
          <w:spacing w:val="0"/>
          <w:kern w:val="2"/>
          <w14:ligatures w14:val="standardContextual"/>
        </w:rPr>
        <w:t>t kan få betydning for forventningerne til den demografiske udvikling.</w:t>
      </w:r>
    </w:p>
    <w:p w14:paraId="5BC1CB8B" w14:textId="77777777" w:rsidR="00EC1944" w:rsidRPr="006E4FD9" w:rsidRDefault="00EC1944" w:rsidP="001C281C">
      <w:pPr>
        <w:rPr>
          <w:rFonts w:asciiTheme="minorHAnsi" w:hAnsiTheme="minorHAnsi"/>
          <w:spacing w:val="0"/>
          <w:kern w:val="2"/>
          <w14:ligatures w14:val="standardContextual"/>
        </w:rPr>
      </w:pPr>
    </w:p>
    <w:p w14:paraId="5C80CCDE" w14:textId="77777777" w:rsidR="00EC1944" w:rsidRDefault="00EC1944" w:rsidP="00EC1944">
      <w:pPr>
        <w:rPr>
          <w:rFonts w:asciiTheme="minorHAnsi" w:hAnsiTheme="minorHAnsi"/>
          <w:b/>
          <w:bCs/>
          <w:spacing w:val="0"/>
          <w:kern w:val="2"/>
          <w14:ligatures w14:val="standardContextual"/>
        </w:rPr>
      </w:pPr>
      <w:r w:rsidRPr="00FF7227">
        <w:rPr>
          <w:rFonts w:asciiTheme="minorHAnsi" w:hAnsiTheme="minorHAnsi"/>
          <w:b/>
          <w:bCs/>
          <w:spacing w:val="0"/>
          <w:kern w:val="2"/>
          <w14:ligatures w14:val="standardContextual"/>
        </w:rPr>
        <w:t>Kompleksitet i sager</w:t>
      </w:r>
    </w:p>
    <w:p w14:paraId="28A9628F" w14:textId="3B7E7207" w:rsidR="00EC1944" w:rsidRDefault="00F81E27" w:rsidP="00EC1944">
      <w:pPr>
        <w:rPr>
          <w:rFonts w:asciiTheme="minorHAnsi" w:hAnsiTheme="minorHAnsi"/>
          <w:spacing w:val="0"/>
          <w:kern w:val="2"/>
          <w14:ligatures w14:val="standardContextual"/>
        </w:rPr>
      </w:pPr>
      <w:r>
        <w:rPr>
          <w:rFonts w:asciiTheme="minorHAnsi" w:hAnsiTheme="minorHAnsi"/>
          <w:spacing w:val="0"/>
          <w:kern w:val="2"/>
          <w14:ligatures w14:val="standardContextual"/>
        </w:rPr>
        <w:t xml:space="preserve">Udgifterne på landsplan og i </w:t>
      </w:r>
      <w:r w:rsidRPr="00F81E27">
        <w:rPr>
          <w:rFonts w:asciiTheme="minorHAnsi" w:hAnsiTheme="minorHAnsi"/>
          <w:spacing w:val="0"/>
          <w:kern w:val="2"/>
          <w14:ligatures w14:val="standardContextual"/>
        </w:rPr>
        <w:t>Kalundborg Kommune</w:t>
      </w:r>
      <w:r>
        <w:rPr>
          <w:rFonts w:asciiTheme="minorHAnsi" w:hAnsiTheme="minorHAnsi"/>
          <w:spacing w:val="0"/>
          <w:kern w:val="2"/>
          <w14:ligatures w14:val="standardContextual"/>
        </w:rPr>
        <w:t xml:space="preserve"> er stigende, primært på baggrund af stadig </w:t>
      </w:r>
      <w:r w:rsidR="009D4BF9">
        <w:rPr>
          <w:rFonts w:asciiTheme="minorHAnsi" w:hAnsiTheme="minorHAnsi"/>
          <w:spacing w:val="0"/>
          <w:kern w:val="2"/>
          <w14:ligatures w14:val="standardContextual"/>
        </w:rPr>
        <w:t>mere komplekse sager.</w:t>
      </w:r>
      <w:r w:rsidR="002E6029">
        <w:rPr>
          <w:rFonts w:asciiTheme="minorHAnsi" w:hAnsiTheme="minorHAnsi"/>
          <w:spacing w:val="0"/>
          <w:kern w:val="2"/>
          <w14:ligatures w14:val="standardContextual"/>
        </w:rPr>
        <w:t xml:space="preserve"> Det er</w:t>
      </w:r>
      <w:r w:rsidR="00071422">
        <w:rPr>
          <w:rFonts w:asciiTheme="minorHAnsi" w:hAnsiTheme="minorHAnsi"/>
          <w:spacing w:val="0"/>
          <w:kern w:val="2"/>
          <w14:ligatures w14:val="standardContextual"/>
        </w:rPr>
        <w:t xml:space="preserve"> beskrevet mere indgående af</w:t>
      </w:r>
      <w:r w:rsidR="00303581">
        <w:rPr>
          <w:rFonts w:asciiTheme="minorHAnsi" w:hAnsiTheme="minorHAnsi"/>
          <w:spacing w:val="0"/>
          <w:kern w:val="2"/>
          <w14:ligatures w14:val="standardContextual"/>
        </w:rPr>
        <w:t xml:space="preserve"> flere instanser, herunder KL</w:t>
      </w:r>
      <w:r w:rsidR="002847E0">
        <w:rPr>
          <w:rFonts w:asciiTheme="minorHAnsi" w:hAnsiTheme="minorHAnsi"/>
          <w:spacing w:val="0"/>
          <w:kern w:val="2"/>
          <w14:ligatures w14:val="standardContextual"/>
        </w:rPr>
        <w:t>. U</w:t>
      </w:r>
      <w:r w:rsidR="00303581">
        <w:rPr>
          <w:rFonts w:asciiTheme="minorHAnsi" w:hAnsiTheme="minorHAnsi"/>
          <w:spacing w:val="0"/>
          <w:kern w:val="2"/>
          <w14:ligatures w14:val="standardContextual"/>
        </w:rPr>
        <w:t xml:space="preserve">dfordringen er også beskrevet </w:t>
      </w:r>
      <w:r w:rsidR="002847E0">
        <w:rPr>
          <w:rFonts w:asciiTheme="minorHAnsi" w:hAnsiTheme="minorHAnsi"/>
          <w:spacing w:val="0"/>
          <w:kern w:val="2"/>
          <w14:ligatures w14:val="standardContextual"/>
        </w:rPr>
        <w:t xml:space="preserve">af Voksenspecialenheden </w:t>
      </w:r>
      <w:r w:rsidR="00303581">
        <w:rPr>
          <w:rFonts w:asciiTheme="minorHAnsi" w:hAnsiTheme="minorHAnsi"/>
          <w:spacing w:val="0"/>
          <w:kern w:val="2"/>
          <w14:ligatures w14:val="standardContextual"/>
        </w:rPr>
        <w:t>i temabudgetteringen for 2024</w:t>
      </w:r>
      <w:r w:rsidR="000F66A1">
        <w:rPr>
          <w:rFonts w:asciiTheme="minorHAnsi" w:hAnsiTheme="minorHAnsi"/>
          <w:spacing w:val="0"/>
          <w:kern w:val="2"/>
          <w14:ligatures w14:val="standardContextual"/>
        </w:rPr>
        <w:t>. De allermest komplekse sager kan koste helt op til 5 mio. kr.</w:t>
      </w:r>
      <w:r w:rsidR="00BF445D">
        <w:rPr>
          <w:rFonts w:asciiTheme="minorHAnsi" w:hAnsiTheme="minorHAnsi"/>
          <w:spacing w:val="0"/>
          <w:kern w:val="2"/>
          <w14:ligatures w14:val="standardContextual"/>
        </w:rPr>
        <w:t xml:space="preserve"> </w:t>
      </w:r>
      <w:r w:rsidR="00983DE8">
        <w:rPr>
          <w:rFonts w:asciiTheme="minorHAnsi" w:hAnsiTheme="minorHAnsi"/>
          <w:spacing w:val="0"/>
          <w:kern w:val="2"/>
          <w14:ligatures w14:val="standardContextual"/>
        </w:rPr>
        <w:t>årligt</w:t>
      </w:r>
      <w:r w:rsidR="009D0DCD">
        <w:rPr>
          <w:rFonts w:asciiTheme="minorHAnsi" w:hAnsiTheme="minorHAnsi"/>
          <w:spacing w:val="0"/>
          <w:kern w:val="2"/>
          <w14:ligatures w14:val="standardContextual"/>
        </w:rPr>
        <w:t xml:space="preserve"> </w:t>
      </w:r>
      <w:r w:rsidR="00BF445D">
        <w:rPr>
          <w:rFonts w:asciiTheme="minorHAnsi" w:hAnsiTheme="minorHAnsi"/>
          <w:spacing w:val="0"/>
          <w:kern w:val="2"/>
          <w14:ligatures w14:val="standardContextual"/>
        </w:rPr>
        <w:t>og i sjældne tilfælde mere.</w:t>
      </w:r>
      <w:r w:rsidR="000F66A1">
        <w:rPr>
          <w:rFonts w:asciiTheme="minorHAnsi" w:hAnsiTheme="minorHAnsi"/>
          <w:spacing w:val="0"/>
          <w:kern w:val="2"/>
          <w14:ligatures w14:val="standardContextual"/>
        </w:rPr>
        <w:t xml:space="preserve"> Det betyder at der i</w:t>
      </w:r>
      <w:r w:rsidR="00BF445D">
        <w:rPr>
          <w:rFonts w:asciiTheme="minorHAnsi" w:hAnsiTheme="minorHAnsi"/>
          <w:spacing w:val="0"/>
          <w:kern w:val="2"/>
          <w14:ligatures w14:val="standardContextual"/>
        </w:rPr>
        <w:t xml:space="preserve"> virkeligheden skal ganske få sager til</w:t>
      </w:r>
      <w:r w:rsidR="00983DE8">
        <w:rPr>
          <w:rFonts w:asciiTheme="minorHAnsi" w:hAnsiTheme="minorHAnsi"/>
          <w:spacing w:val="0"/>
          <w:kern w:val="2"/>
          <w14:ligatures w14:val="standardContextual"/>
        </w:rPr>
        <w:t>,</w:t>
      </w:r>
      <w:r w:rsidR="00BF445D">
        <w:rPr>
          <w:rFonts w:asciiTheme="minorHAnsi" w:hAnsiTheme="minorHAnsi"/>
          <w:spacing w:val="0"/>
          <w:kern w:val="2"/>
          <w14:ligatures w14:val="standardContextual"/>
        </w:rPr>
        <w:t xml:space="preserve"> for at </w:t>
      </w:r>
      <w:r w:rsidR="002847E0">
        <w:rPr>
          <w:rFonts w:asciiTheme="minorHAnsi" w:hAnsiTheme="minorHAnsi"/>
          <w:spacing w:val="0"/>
          <w:kern w:val="2"/>
          <w14:ligatures w14:val="standardContextual"/>
        </w:rPr>
        <w:t xml:space="preserve">udgifterne kan stige betydeligt. </w:t>
      </w:r>
      <w:r w:rsidR="00940325">
        <w:rPr>
          <w:rFonts w:asciiTheme="minorHAnsi" w:hAnsiTheme="minorHAnsi"/>
          <w:spacing w:val="0"/>
          <w:kern w:val="2"/>
          <w14:ligatures w14:val="standardContextual"/>
        </w:rPr>
        <w:t xml:space="preserve">Dette er et af de indsatsområder, som Ekspertudvalget, KL og Regeringen </w:t>
      </w:r>
      <w:r w:rsidR="00EC4840">
        <w:rPr>
          <w:rFonts w:asciiTheme="minorHAnsi" w:hAnsiTheme="minorHAnsi"/>
          <w:spacing w:val="0"/>
          <w:kern w:val="2"/>
          <w14:ligatures w14:val="standardContextual"/>
        </w:rPr>
        <w:t xml:space="preserve">pejler efter i forhold til initiativer og </w:t>
      </w:r>
      <w:r w:rsidR="00983DE8">
        <w:rPr>
          <w:rFonts w:asciiTheme="minorHAnsi" w:hAnsiTheme="minorHAnsi"/>
          <w:spacing w:val="0"/>
          <w:kern w:val="2"/>
          <w14:ligatures w14:val="standardContextual"/>
        </w:rPr>
        <w:t>tiltag</w:t>
      </w:r>
      <w:r w:rsidR="00EC4840">
        <w:rPr>
          <w:rFonts w:asciiTheme="minorHAnsi" w:hAnsiTheme="minorHAnsi"/>
          <w:spacing w:val="0"/>
          <w:kern w:val="2"/>
          <w14:ligatures w14:val="standardContextual"/>
        </w:rPr>
        <w:t>, men det vil være et af de områder, hvor effekten af initiativerne er mere langsigtede.</w:t>
      </w:r>
    </w:p>
    <w:p w14:paraId="4A4C84EB" w14:textId="77777777" w:rsidR="00EC4840" w:rsidRPr="00EC1944" w:rsidRDefault="00EC4840" w:rsidP="00EC1944">
      <w:pPr>
        <w:rPr>
          <w:rFonts w:asciiTheme="minorHAnsi" w:hAnsiTheme="minorHAnsi"/>
          <w:spacing w:val="0"/>
          <w:kern w:val="2"/>
          <w14:ligatures w14:val="standardContextual"/>
        </w:rPr>
      </w:pPr>
    </w:p>
    <w:p w14:paraId="33C6DB72" w14:textId="5DED06C7" w:rsidR="002912DF" w:rsidRDefault="00DC3576" w:rsidP="001C281C">
      <w:pPr>
        <w:rPr>
          <w:rFonts w:asciiTheme="minorHAnsi" w:hAnsiTheme="minorHAnsi"/>
          <w:b/>
          <w:bCs/>
          <w:spacing w:val="0"/>
          <w:kern w:val="2"/>
          <w14:ligatures w14:val="standardContextual"/>
        </w:rPr>
      </w:pPr>
      <w:r w:rsidRPr="00FF7227">
        <w:rPr>
          <w:rFonts w:asciiTheme="minorHAnsi" w:hAnsiTheme="minorHAnsi"/>
          <w:b/>
          <w:bCs/>
          <w:spacing w:val="0"/>
          <w:kern w:val="2"/>
          <w14:ligatures w14:val="standardContextual"/>
        </w:rPr>
        <w:t>Ankesager</w:t>
      </w:r>
    </w:p>
    <w:p w14:paraId="776D8423" w14:textId="5730603F" w:rsidR="00BF5E26" w:rsidRDefault="001126A5" w:rsidP="001C281C">
      <w:pPr>
        <w:rPr>
          <w:rFonts w:asciiTheme="minorHAnsi" w:hAnsiTheme="minorHAnsi"/>
          <w:spacing w:val="0"/>
          <w:kern w:val="2"/>
          <w14:ligatures w14:val="standardContextual"/>
        </w:rPr>
      </w:pPr>
      <w:r>
        <w:rPr>
          <w:rFonts w:asciiTheme="minorHAnsi" w:hAnsiTheme="minorHAnsi"/>
          <w:spacing w:val="0"/>
          <w:kern w:val="2"/>
          <w14:ligatures w14:val="standardContextual"/>
        </w:rPr>
        <w:t>Det</w:t>
      </w:r>
      <w:r w:rsidR="00A66D33">
        <w:rPr>
          <w:rFonts w:asciiTheme="minorHAnsi" w:hAnsiTheme="minorHAnsi"/>
          <w:spacing w:val="0"/>
          <w:kern w:val="2"/>
          <w14:ligatures w14:val="standardContextual"/>
        </w:rPr>
        <w:t>te vedrører</w:t>
      </w:r>
      <w:r>
        <w:rPr>
          <w:rFonts w:asciiTheme="minorHAnsi" w:hAnsiTheme="minorHAnsi"/>
          <w:spacing w:val="0"/>
          <w:kern w:val="2"/>
          <w14:ligatures w14:val="standardContextual"/>
        </w:rPr>
        <w:t xml:space="preserve"> primært sager om </w:t>
      </w:r>
      <w:proofErr w:type="spellStart"/>
      <w:r>
        <w:rPr>
          <w:rFonts w:asciiTheme="minorHAnsi" w:hAnsiTheme="minorHAnsi"/>
          <w:spacing w:val="0"/>
          <w:kern w:val="2"/>
          <w14:ligatures w14:val="standardContextual"/>
        </w:rPr>
        <w:t>mellemkommunal</w:t>
      </w:r>
      <w:proofErr w:type="spellEnd"/>
      <w:r>
        <w:rPr>
          <w:rFonts w:asciiTheme="minorHAnsi" w:hAnsiTheme="minorHAnsi"/>
          <w:spacing w:val="0"/>
          <w:kern w:val="2"/>
          <w14:ligatures w14:val="standardContextual"/>
        </w:rPr>
        <w:t xml:space="preserve"> refusion, som kan få uventede økonomiske konsekvenser</w:t>
      </w:r>
      <w:r w:rsidR="00242D14">
        <w:rPr>
          <w:rFonts w:asciiTheme="minorHAnsi" w:hAnsiTheme="minorHAnsi"/>
          <w:spacing w:val="0"/>
          <w:kern w:val="2"/>
          <w14:ligatures w14:val="standardContextual"/>
        </w:rPr>
        <w:t xml:space="preserve">, altså sager hvor borgere flytter til eller fra </w:t>
      </w:r>
      <w:r w:rsidR="00242D14" w:rsidRPr="00242D14">
        <w:rPr>
          <w:rFonts w:asciiTheme="minorHAnsi" w:hAnsiTheme="minorHAnsi"/>
          <w:spacing w:val="0"/>
          <w:kern w:val="2"/>
          <w14:ligatures w14:val="standardContextual"/>
        </w:rPr>
        <w:t>Kalundborg Kommune</w:t>
      </w:r>
      <w:r w:rsidR="003C54FF">
        <w:rPr>
          <w:rFonts w:asciiTheme="minorHAnsi" w:hAnsiTheme="minorHAnsi"/>
          <w:spacing w:val="0"/>
          <w:kern w:val="2"/>
          <w14:ligatures w14:val="standardContextual"/>
        </w:rPr>
        <w:t xml:space="preserve">, eller hvor en anden kommune har bevilget et tilbud i </w:t>
      </w:r>
      <w:r w:rsidR="003C54FF" w:rsidRPr="003C54FF">
        <w:rPr>
          <w:rFonts w:asciiTheme="minorHAnsi" w:hAnsiTheme="minorHAnsi"/>
          <w:spacing w:val="0"/>
          <w:kern w:val="2"/>
          <w14:ligatures w14:val="standardContextual"/>
        </w:rPr>
        <w:t>Kalundborg Kommune</w:t>
      </w:r>
      <w:r w:rsidR="003C54FF">
        <w:rPr>
          <w:rFonts w:asciiTheme="minorHAnsi" w:hAnsiTheme="minorHAnsi"/>
          <w:spacing w:val="0"/>
          <w:kern w:val="2"/>
          <w14:ligatures w14:val="standardContextual"/>
        </w:rPr>
        <w:t xml:space="preserve"> og efterfølgende frasiger sig betalingsforpligtelsen.</w:t>
      </w:r>
    </w:p>
    <w:p w14:paraId="25D3F4BD" w14:textId="77777777" w:rsidR="003C54FF" w:rsidRPr="001126A5" w:rsidRDefault="003C54FF" w:rsidP="001C281C">
      <w:pPr>
        <w:rPr>
          <w:rFonts w:asciiTheme="minorHAnsi" w:hAnsiTheme="minorHAnsi"/>
          <w:spacing w:val="0"/>
          <w:kern w:val="2"/>
          <w14:ligatures w14:val="standardContextual"/>
        </w:rPr>
      </w:pPr>
    </w:p>
    <w:p w14:paraId="083CFE06" w14:textId="7E6EE418" w:rsidR="00DC3576" w:rsidRDefault="00DC3576" w:rsidP="001C281C">
      <w:pPr>
        <w:rPr>
          <w:rFonts w:asciiTheme="minorHAnsi" w:hAnsiTheme="minorHAnsi"/>
          <w:b/>
          <w:bCs/>
          <w:spacing w:val="0"/>
          <w:kern w:val="2"/>
          <w14:ligatures w14:val="standardContextual"/>
        </w:rPr>
      </w:pPr>
      <w:r w:rsidRPr="00FF7227">
        <w:rPr>
          <w:rFonts w:asciiTheme="minorHAnsi" w:hAnsiTheme="minorHAnsi"/>
          <w:b/>
          <w:bCs/>
          <w:spacing w:val="0"/>
          <w:kern w:val="2"/>
          <w14:ligatures w14:val="standardContextual"/>
        </w:rPr>
        <w:t>Domme til borgere</w:t>
      </w:r>
    </w:p>
    <w:p w14:paraId="0BF9802E" w14:textId="3327F7CF" w:rsidR="00A66D33" w:rsidRDefault="00A66D33" w:rsidP="001C281C">
      <w:pPr>
        <w:rPr>
          <w:rFonts w:asciiTheme="minorHAnsi" w:hAnsiTheme="minorHAnsi"/>
          <w:spacing w:val="0"/>
          <w:kern w:val="2"/>
          <w14:ligatures w14:val="standardContextual"/>
        </w:rPr>
      </w:pPr>
      <w:r>
        <w:rPr>
          <w:rFonts w:asciiTheme="minorHAnsi" w:hAnsiTheme="minorHAnsi"/>
          <w:spacing w:val="0"/>
          <w:kern w:val="2"/>
          <w14:ligatures w14:val="standardContextual"/>
        </w:rPr>
        <w:t xml:space="preserve">Når borgere får </w:t>
      </w:r>
      <w:r w:rsidR="00525274">
        <w:rPr>
          <w:rFonts w:asciiTheme="minorHAnsi" w:hAnsiTheme="minorHAnsi"/>
          <w:spacing w:val="0"/>
          <w:kern w:val="2"/>
          <w14:ligatures w14:val="standardContextual"/>
        </w:rPr>
        <w:t>en dom, kan økonomi</w:t>
      </w:r>
      <w:r w:rsidR="00095CCB">
        <w:rPr>
          <w:rFonts w:asciiTheme="minorHAnsi" w:hAnsiTheme="minorHAnsi"/>
          <w:spacing w:val="0"/>
          <w:kern w:val="2"/>
          <w14:ligatures w14:val="standardContextual"/>
        </w:rPr>
        <w:t>en</w:t>
      </w:r>
      <w:r w:rsidR="00525274">
        <w:rPr>
          <w:rFonts w:asciiTheme="minorHAnsi" w:hAnsiTheme="minorHAnsi"/>
          <w:spacing w:val="0"/>
          <w:kern w:val="2"/>
          <w14:ligatures w14:val="standardContextual"/>
        </w:rPr>
        <w:t xml:space="preserve"> gå begge veje i Voksenspecialenhedens regi</w:t>
      </w:r>
      <w:r w:rsidR="00095CCB">
        <w:rPr>
          <w:rFonts w:asciiTheme="minorHAnsi" w:hAnsiTheme="minorHAnsi"/>
          <w:spacing w:val="0"/>
          <w:kern w:val="2"/>
          <w14:ligatures w14:val="standardContextual"/>
        </w:rPr>
        <w:t xml:space="preserve">. Hvis borger dømmes til ophold i </w:t>
      </w:r>
      <w:proofErr w:type="spellStart"/>
      <w:r w:rsidR="00095CCB">
        <w:rPr>
          <w:rFonts w:asciiTheme="minorHAnsi" w:hAnsiTheme="minorHAnsi"/>
          <w:spacing w:val="0"/>
          <w:kern w:val="2"/>
          <w14:ligatures w14:val="standardContextual"/>
        </w:rPr>
        <w:t>Kofoedsminde</w:t>
      </w:r>
      <w:proofErr w:type="spellEnd"/>
      <w:r w:rsidR="00FD40DE">
        <w:rPr>
          <w:rFonts w:asciiTheme="minorHAnsi" w:hAnsiTheme="minorHAnsi"/>
          <w:spacing w:val="0"/>
          <w:kern w:val="2"/>
          <w14:ligatures w14:val="standardContextual"/>
        </w:rPr>
        <w:t xml:space="preserve"> vil der udelukkende være udgifter til beskæftigelsestilbud, men hvis borger dømmes til ophold i kommunens regi, er det </w:t>
      </w:r>
      <w:r w:rsidR="00617FB6">
        <w:rPr>
          <w:rFonts w:asciiTheme="minorHAnsi" w:hAnsiTheme="minorHAnsi"/>
          <w:spacing w:val="0"/>
          <w:kern w:val="2"/>
          <w14:ligatures w14:val="standardContextual"/>
        </w:rPr>
        <w:t xml:space="preserve">altid forbundet med </w:t>
      </w:r>
      <w:r w:rsidR="00334C63">
        <w:rPr>
          <w:rFonts w:asciiTheme="minorHAnsi" w:hAnsiTheme="minorHAnsi"/>
          <w:spacing w:val="0"/>
          <w:kern w:val="2"/>
          <w14:ligatures w14:val="standardContextual"/>
        </w:rPr>
        <w:t xml:space="preserve">ret </w:t>
      </w:r>
      <w:r w:rsidR="00617FB6">
        <w:rPr>
          <w:rFonts w:asciiTheme="minorHAnsi" w:hAnsiTheme="minorHAnsi"/>
          <w:spacing w:val="0"/>
          <w:kern w:val="2"/>
          <w14:ligatures w14:val="standardContextual"/>
        </w:rPr>
        <w:t xml:space="preserve">store udgifter. </w:t>
      </w:r>
      <w:r w:rsidR="004519A0">
        <w:rPr>
          <w:rFonts w:asciiTheme="minorHAnsi" w:hAnsiTheme="minorHAnsi"/>
          <w:spacing w:val="0"/>
          <w:kern w:val="2"/>
          <w14:ligatures w14:val="standardContextual"/>
        </w:rPr>
        <w:t>En enkelt sag kan derfor give</w:t>
      </w:r>
      <w:r w:rsidR="00617FB6">
        <w:rPr>
          <w:rFonts w:asciiTheme="minorHAnsi" w:hAnsiTheme="minorHAnsi"/>
          <w:spacing w:val="0"/>
          <w:kern w:val="2"/>
          <w14:ligatures w14:val="standardContextual"/>
        </w:rPr>
        <w:t xml:space="preserve"> betydelige økonomiske udsving.</w:t>
      </w:r>
    </w:p>
    <w:p w14:paraId="7E09FD52" w14:textId="77777777" w:rsidR="00617FB6" w:rsidRPr="00A66D33" w:rsidRDefault="00617FB6" w:rsidP="001C281C">
      <w:pPr>
        <w:rPr>
          <w:rFonts w:asciiTheme="minorHAnsi" w:hAnsiTheme="minorHAnsi"/>
          <w:spacing w:val="0"/>
          <w:kern w:val="2"/>
          <w14:ligatures w14:val="standardContextual"/>
        </w:rPr>
      </w:pPr>
    </w:p>
    <w:p w14:paraId="2A12D6E0" w14:textId="62E91590" w:rsidR="00C034AA" w:rsidRPr="00213B81" w:rsidRDefault="00C034AA" w:rsidP="001C281C">
      <w:pPr>
        <w:rPr>
          <w:rFonts w:asciiTheme="minorHAnsi" w:hAnsiTheme="minorHAnsi"/>
          <w:b/>
          <w:bCs/>
          <w:spacing w:val="0"/>
          <w:kern w:val="2"/>
          <w14:ligatures w14:val="standardContextual"/>
        </w:rPr>
      </w:pPr>
      <w:r w:rsidRPr="00213B81">
        <w:rPr>
          <w:rFonts w:asciiTheme="minorHAnsi" w:hAnsiTheme="minorHAnsi"/>
          <w:b/>
          <w:bCs/>
          <w:spacing w:val="0"/>
          <w:kern w:val="2"/>
          <w14:ligatures w14:val="standardContextual"/>
        </w:rPr>
        <w:t>Nedlukning af tilbud i en anden kommune</w:t>
      </w:r>
    </w:p>
    <w:p w14:paraId="6F5EBFA0" w14:textId="7D695151" w:rsidR="004519A0" w:rsidRPr="009A7613" w:rsidRDefault="009A7613" w:rsidP="001C281C">
      <w:pPr>
        <w:rPr>
          <w:rFonts w:asciiTheme="minorHAnsi" w:hAnsiTheme="minorHAnsi"/>
          <w:spacing w:val="0"/>
          <w:kern w:val="2"/>
          <w14:ligatures w14:val="standardContextual"/>
        </w:rPr>
      </w:pPr>
      <w:r w:rsidRPr="00213B81">
        <w:rPr>
          <w:rFonts w:asciiTheme="minorHAnsi" w:hAnsiTheme="minorHAnsi"/>
          <w:spacing w:val="0"/>
          <w:kern w:val="2"/>
          <w14:ligatures w14:val="standardContextual"/>
        </w:rPr>
        <w:t xml:space="preserve">I 2023 rejste en nabokommune et krav for medfinansiering af lukning af et botilbud. Kalundborg Kommune er imidlertid ikke enig i </w:t>
      </w:r>
      <w:r w:rsidR="009A1CEA" w:rsidRPr="00213B81">
        <w:rPr>
          <w:rFonts w:asciiTheme="minorHAnsi" w:hAnsiTheme="minorHAnsi"/>
          <w:spacing w:val="0"/>
          <w:kern w:val="2"/>
          <w14:ligatures w14:val="standardContextual"/>
        </w:rPr>
        <w:t xml:space="preserve">at nedlukningen havde en karakter, hvor andre kommuner skal bidrage til udgifterne for nedlukning og underskuddet i tilbuddet. Afklaringen forventes at </w:t>
      </w:r>
      <w:r w:rsidR="00B44CB7" w:rsidRPr="00213B81">
        <w:rPr>
          <w:rFonts w:asciiTheme="minorHAnsi" w:hAnsiTheme="minorHAnsi"/>
          <w:spacing w:val="0"/>
          <w:kern w:val="2"/>
          <w14:ligatures w14:val="standardContextual"/>
        </w:rPr>
        <w:t>vare noget tid og hvis det alligevel viser sig at Kalundborg Kommune har en andel i nedlukningen, vil udgiften på 3,6 mio. kr. f</w:t>
      </w:r>
      <w:r w:rsidR="00323E75" w:rsidRPr="00213B81">
        <w:rPr>
          <w:rFonts w:asciiTheme="minorHAnsi" w:hAnsiTheme="minorHAnsi"/>
          <w:spacing w:val="0"/>
          <w:kern w:val="2"/>
          <w14:ligatures w14:val="standardContextual"/>
        </w:rPr>
        <w:t>or</w:t>
      </w:r>
      <w:r w:rsidR="00D472DA" w:rsidRPr="00213B81">
        <w:rPr>
          <w:rFonts w:asciiTheme="minorHAnsi" w:hAnsiTheme="minorHAnsi"/>
          <w:spacing w:val="0"/>
          <w:kern w:val="2"/>
          <w14:ligatures w14:val="standardContextual"/>
        </w:rPr>
        <w:t>modentlig komme</w:t>
      </w:r>
      <w:r w:rsidR="00B44CB7" w:rsidRPr="00213B81">
        <w:rPr>
          <w:rFonts w:asciiTheme="minorHAnsi" w:hAnsiTheme="minorHAnsi"/>
          <w:spacing w:val="0"/>
          <w:kern w:val="2"/>
          <w14:ligatures w14:val="standardContextual"/>
        </w:rPr>
        <w:t xml:space="preserve"> i</w:t>
      </w:r>
      <w:r w:rsidR="00D472DA" w:rsidRPr="00213B81">
        <w:rPr>
          <w:rFonts w:asciiTheme="minorHAnsi" w:hAnsiTheme="minorHAnsi"/>
          <w:spacing w:val="0"/>
          <w:kern w:val="2"/>
          <w14:ligatures w14:val="standardContextual"/>
        </w:rPr>
        <w:t xml:space="preserve"> slutningen af 2024 eller i løbet af</w:t>
      </w:r>
      <w:r w:rsidR="00B44CB7" w:rsidRPr="00213B81">
        <w:rPr>
          <w:rFonts w:asciiTheme="minorHAnsi" w:hAnsiTheme="minorHAnsi"/>
          <w:spacing w:val="0"/>
          <w:kern w:val="2"/>
          <w14:ligatures w14:val="standardContextual"/>
        </w:rPr>
        <w:t xml:space="preserve"> 2025.</w:t>
      </w:r>
    </w:p>
    <w:p w14:paraId="6E17ED84" w14:textId="77777777" w:rsidR="00951F3C" w:rsidRDefault="00951F3C" w:rsidP="001C281C">
      <w:pPr>
        <w:rPr>
          <w:rFonts w:asciiTheme="minorHAnsi" w:hAnsiTheme="minorHAnsi"/>
          <w:b/>
          <w:bCs/>
          <w:spacing w:val="0"/>
          <w:kern w:val="2"/>
          <w14:ligatures w14:val="standardContextual"/>
        </w:rPr>
      </w:pPr>
    </w:p>
    <w:p w14:paraId="1093C530" w14:textId="2BD03898" w:rsidR="00D64379" w:rsidRDefault="00D64379" w:rsidP="001C281C">
      <w:pPr>
        <w:rPr>
          <w:rFonts w:asciiTheme="minorHAnsi" w:hAnsiTheme="minorHAnsi"/>
          <w:b/>
          <w:bCs/>
          <w:spacing w:val="0"/>
          <w:kern w:val="2"/>
          <w14:ligatures w14:val="standardContextual"/>
        </w:rPr>
      </w:pPr>
      <w:r w:rsidRPr="00FF7227">
        <w:rPr>
          <w:rFonts w:asciiTheme="minorHAnsi" w:hAnsiTheme="minorHAnsi"/>
          <w:b/>
          <w:bCs/>
          <w:spacing w:val="0"/>
          <w:kern w:val="2"/>
          <w14:ligatures w14:val="standardContextual"/>
        </w:rPr>
        <w:t>Uerholdelige krav</w:t>
      </w:r>
    </w:p>
    <w:p w14:paraId="58F89E75" w14:textId="7DEA59F0" w:rsidR="00416ED1" w:rsidRPr="00416ED1" w:rsidRDefault="00416ED1" w:rsidP="001C281C">
      <w:pPr>
        <w:rPr>
          <w:rFonts w:asciiTheme="minorHAnsi" w:hAnsiTheme="minorHAnsi"/>
          <w:spacing w:val="0"/>
          <w:kern w:val="2"/>
          <w14:ligatures w14:val="standardContextual"/>
        </w:rPr>
      </w:pPr>
      <w:r>
        <w:rPr>
          <w:rFonts w:asciiTheme="minorHAnsi" w:hAnsiTheme="minorHAnsi"/>
          <w:spacing w:val="0"/>
          <w:kern w:val="2"/>
          <w14:ligatures w14:val="standardContextual"/>
        </w:rPr>
        <w:t xml:space="preserve">Borgere har en samlet gæld til </w:t>
      </w:r>
      <w:r w:rsidRPr="00416ED1">
        <w:rPr>
          <w:rFonts w:asciiTheme="minorHAnsi" w:hAnsiTheme="minorHAnsi"/>
          <w:spacing w:val="0"/>
          <w:kern w:val="2"/>
          <w14:ligatures w14:val="standardContextual"/>
        </w:rPr>
        <w:t>Kalundborg Kommune</w:t>
      </w:r>
      <w:r>
        <w:rPr>
          <w:rFonts w:asciiTheme="minorHAnsi" w:hAnsiTheme="minorHAnsi"/>
          <w:spacing w:val="0"/>
          <w:kern w:val="2"/>
          <w14:ligatures w14:val="standardContextual"/>
        </w:rPr>
        <w:t xml:space="preserve"> på </w:t>
      </w:r>
      <w:r w:rsidR="00E40065" w:rsidRPr="00982D89">
        <w:rPr>
          <w:rFonts w:asciiTheme="minorHAnsi" w:hAnsiTheme="minorHAnsi"/>
          <w:spacing w:val="0"/>
          <w:kern w:val="2"/>
          <w14:ligatures w14:val="standardContextual"/>
        </w:rPr>
        <w:t>godt</w:t>
      </w:r>
      <w:r w:rsidRPr="00982D89">
        <w:rPr>
          <w:rFonts w:asciiTheme="minorHAnsi" w:hAnsiTheme="minorHAnsi"/>
          <w:spacing w:val="0"/>
          <w:kern w:val="2"/>
          <w14:ligatures w14:val="standardContextual"/>
        </w:rPr>
        <w:t xml:space="preserve"> </w:t>
      </w:r>
      <w:r w:rsidR="00935119" w:rsidRPr="00982D89">
        <w:rPr>
          <w:rFonts w:asciiTheme="minorHAnsi" w:hAnsiTheme="minorHAnsi"/>
          <w:spacing w:val="0"/>
          <w:kern w:val="2"/>
          <w14:ligatures w14:val="standardContextual"/>
        </w:rPr>
        <w:t>1,</w:t>
      </w:r>
      <w:r w:rsidR="007D5894" w:rsidRPr="00982D89">
        <w:rPr>
          <w:rFonts w:asciiTheme="minorHAnsi" w:hAnsiTheme="minorHAnsi"/>
          <w:spacing w:val="0"/>
          <w:kern w:val="2"/>
          <w14:ligatures w14:val="standardContextual"/>
        </w:rPr>
        <w:t>0</w:t>
      </w:r>
      <w:r w:rsidRPr="00982D89">
        <w:rPr>
          <w:rFonts w:asciiTheme="minorHAnsi" w:hAnsiTheme="minorHAnsi"/>
          <w:spacing w:val="0"/>
          <w:kern w:val="2"/>
          <w14:ligatures w14:val="standardContextual"/>
        </w:rPr>
        <w:t xml:space="preserve"> mio. kr. for manglende</w:t>
      </w:r>
      <w:r>
        <w:rPr>
          <w:rFonts w:asciiTheme="minorHAnsi" w:hAnsiTheme="minorHAnsi"/>
          <w:spacing w:val="0"/>
          <w:kern w:val="2"/>
          <w14:ligatures w14:val="standardContextual"/>
        </w:rPr>
        <w:t xml:space="preserve"> betaling af egenbetaling i botilbud igennem årene. </w:t>
      </w:r>
      <w:r w:rsidR="00E40065">
        <w:rPr>
          <w:rFonts w:asciiTheme="minorHAnsi" w:hAnsiTheme="minorHAnsi"/>
          <w:spacing w:val="0"/>
          <w:kern w:val="2"/>
          <w14:ligatures w14:val="standardContextual"/>
        </w:rPr>
        <w:t xml:space="preserve">Det er egenbetaling til krisecentre, forsorgshjem, midlertidige botilbud og længerevarende botilbud.  </w:t>
      </w:r>
      <w:r w:rsidR="00C270F0">
        <w:rPr>
          <w:rFonts w:asciiTheme="minorHAnsi" w:hAnsiTheme="minorHAnsi"/>
          <w:spacing w:val="0"/>
          <w:kern w:val="2"/>
          <w14:ligatures w14:val="standardContextual"/>
        </w:rPr>
        <w:t xml:space="preserve">Det er Gældsstyrelsen som opkræver gælden hos borgerne og hvis </w:t>
      </w:r>
      <w:r w:rsidR="00AA2CB6">
        <w:rPr>
          <w:rFonts w:asciiTheme="minorHAnsi" w:hAnsiTheme="minorHAnsi"/>
          <w:spacing w:val="0"/>
          <w:kern w:val="2"/>
          <w14:ligatures w14:val="standardContextual"/>
        </w:rPr>
        <w:t>de vurdere</w:t>
      </w:r>
      <w:r w:rsidR="00CF043B">
        <w:rPr>
          <w:rFonts w:asciiTheme="minorHAnsi" w:hAnsiTheme="minorHAnsi"/>
          <w:spacing w:val="0"/>
          <w:kern w:val="2"/>
          <w14:ligatures w14:val="standardContextual"/>
        </w:rPr>
        <w:t>r</w:t>
      </w:r>
      <w:r w:rsidR="00AA2CB6">
        <w:rPr>
          <w:rFonts w:asciiTheme="minorHAnsi" w:hAnsiTheme="minorHAnsi"/>
          <w:spacing w:val="0"/>
          <w:kern w:val="2"/>
          <w14:ligatures w14:val="standardContextual"/>
        </w:rPr>
        <w:t xml:space="preserve"> at borger aldrig bliver i stand til at betale, afskrives gælden derfra. </w:t>
      </w:r>
      <w:r w:rsidR="00CF043B">
        <w:rPr>
          <w:rFonts w:asciiTheme="minorHAnsi" w:hAnsiTheme="minorHAnsi"/>
          <w:spacing w:val="0"/>
          <w:kern w:val="2"/>
          <w14:ligatures w14:val="standardContextual"/>
        </w:rPr>
        <w:t xml:space="preserve">Det bevirker at </w:t>
      </w:r>
      <w:r w:rsidR="00BA33EA">
        <w:rPr>
          <w:rFonts w:asciiTheme="minorHAnsi" w:hAnsiTheme="minorHAnsi"/>
          <w:spacing w:val="0"/>
          <w:kern w:val="2"/>
          <w14:ligatures w14:val="standardContextual"/>
        </w:rPr>
        <w:t xml:space="preserve">det afskrevne beløb udgiftsføres </w:t>
      </w:r>
      <w:r w:rsidR="00AA6E28">
        <w:rPr>
          <w:rFonts w:asciiTheme="minorHAnsi" w:hAnsiTheme="minorHAnsi"/>
          <w:spacing w:val="0"/>
          <w:kern w:val="2"/>
          <w14:ligatures w14:val="standardContextual"/>
        </w:rPr>
        <w:t>hos Voksenspecialenheden og afskrivningerne kan variere betydeligt fra år til år. I 2024 er der foreløbigt udgiftsført ca. 0,</w:t>
      </w:r>
      <w:r w:rsidR="00935119">
        <w:rPr>
          <w:rFonts w:asciiTheme="minorHAnsi" w:hAnsiTheme="minorHAnsi"/>
          <w:spacing w:val="0"/>
          <w:kern w:val="2"/>
          <w14:ligatures w14:val="standardContextual"/>
        </w:rPr>
        <w:t>3</w:t>
      </w:r>
      <w:r w:rsidR="00AA6E28">
        <w:rPr>
          <w:rFonts w:asciiTheme="minorHAnsi" w:hAnsiTheme="minorHAnsi"/>
          <w:spacing w:val="0"/>
          <w:kern w:val="2"/>
          <w14:ligatures w14:val="standardContextual"/>
        </w:rPr>
        <w:t xml:space="preserve"> mio. kr. i den forbindelse.</w:t>
      </w:r>
    </w:p>
    <w:p w14:paraId="25B0D0F8" w14:textId="562954D0" w:rsidR="00DC3576" w:rsidRPr="00416ED1" w:rsidRDefault="00DC3576" w:rsidP="001C281C">
      <w:pPr>
        <w:rPr>
          <w:rFonts w:ascii="Arial" w:hAnsi="Arial" w:cs="Arial"/>
          <w:color w:val="0070C0"/>
          <w:sz w:val="24"/>
          <w:szCs w:val="24"/>
        </w:rPr>
      </w:pPr>
    </w:p>
    <w:p w14:paraId="37775C6A" w14:textId="2FD4F851" w:rsidR="001C281C" w:rsidRPr="00951F3C" w:rsidRDefault="00951F3C" w:rsidP="00D64379">
      <w:pPr>
        <w:rPr>
          <w:rFonts w:asciiTheme="minorHAnsi" w:hAnsiTheme="minorHAnsi"/>
          <w:b/>
          <w:bCs/>
          <w:spacing w:val="0"/>
          <w:kern w:val="2"/>
          <w14:ligatures w14:val="standardContextual"/>
        </w:rPr>
      </w:pPr>
      <w:r w:rsidRPr="00951F3C">
        <w:rPr>
          <w:rFonts w:asciiTheme="minorHAnsi" w:hAnsiTheme="minorHAnsi"/>
          <w:b/>
          <w:bCs/>
          <w:spacing w:val="0"/>
          <w:kern w:val="2"/>
          <w14:ligatures w14:val="standardContextual"/>
        </w:rPr>
        <w:t>Opsummering</w:t>
      </w:r>
    </w:p>
    <w:p w14:paraId="777FB23E" w14:textId="4A22A6FC" w:rsidR="000D44AE" w:rsidRPr="00CD64F8" w:rsidRDefault="006D50C5" w:rsidP="000D44AE">
      <w:pPr>
        <w:rPr>
          <w:rFonts w:ascii="Arial" w:hAnsi="Arial" w:cs="Arial"/>
          <w:sz w:val="24"/>
          <w:szCs w:val="24"/>
        </w:rPr>
      </w:pPr>
      <w:r>
        <w:rPr>
          <w:rFonts w:asciiTheme="minorHAnsi" w:hAnsiTheme="minorHAnsi"/>
          <w:spacing w:val="0"/>
          <w:kern w:val="2"/>
          <w14:ligatures w14:val="standardContextual"/>
        </w:rPr>
        <w:t>Som nævnt kan manglende naturlig afgang</w:t>
      </w:r>
      <w:r w:rsidR="00BF018A">
        <w:rPr>
          <w:rFonts w:asciiTheme="minorHAnsi" w:hAnsiTheme="minorHAnsi"/>
          <w:spacing w:val="0"/>
          <w:kern w:val="2"/>
          <w14:ligatures w14:val="standardContextual"/>
        </w:rPr>
        <w:t xml:space="preserve"> betyde at den demografiske udvikling munder ud i et stigende antal sager i Voksenspecialenhedens regi og set i lyset af at </w:t>
      </w:r>
      <w:r w:rsidR="006721B2">
        <w:rPr>
          <w:rFonts w:asciiTheme="minorHAnsi" w:hAnsiTheme="minorHAnsi"/>
          <w:spacing w:val="0"/>
          <w:kern w:val="2"/>
          <w14:ligatures w14:val="standardContextual"/>
        </w:rPr>
        <w:t xml:space="preserve">kompleksiteten i enkeltsager, kan medføre betydelige stigninger i </w:t>
      </w:r>
      <w:r w:rsidR="006721B2">
        <w:rPr>
          <w:rFonts w:asciiTheme="minorHAnsi" w:hAnsiTheme="minorHAnsi"/>
          <w:spacing w:val="0"/>
          <w:kern w:val="2"/>
          <w14:ligatures w14:val="standardContextual"/>
        </w:rPr>
        <w:lastRenderedPageBreak/>
        <w:t>udgifterne</w:t>
      </w:r>
      <w:r w:rsidR="000631F5">
        <w:rPr>
          <w:rFonts w:asciiTheme="minorHAnsi" w:hAnsiTheme="minorHAnsi"/>
          <w:spacing w:val="0"/>
          <w:kern w:val="2"/>
          <w14:ligatures w14:val="standardContextual"/>
        </w:rPr>
        <w:t>,</w:t>
      </w:r>
      <w:r w:rsidR="00530C86">
        <w:rPr>
          <w:rFonts w:asciiTheme="minorHAnsi" w:hAnsiTheme="minorHAnsi"/>
          <w:spacing w:val="0"/>
          <w:kern w:val="2"/>
          <w14:ligatures w14:val="standardContextual"/>
        </w:rPr>
        <w:t xml:space="preserve"> anbefales</w:t>
      </w:r>
      <w:r w:rsidR="0018744B">
        <w:rPr>
          <w:rFonts w:asciiTheme="minorHAnsi" w:hAnsiTheme="minorHAnsi"/>
          <w:spacing w:val="0"/>
          <w:kern w:val="2"/>
          <w14:ligatures w14:val="standardContextual"/>
        </w:rPr>
        <w:t xml:space="preserve"> det</w:t>
      </w:r>
      <w:r w:rsidR="00530C86">
        <w:rPr>
          <w:rFonts w:asciiTheme="minorHAnsi" w:hAnsiTheme="minorHAnsi"/>
          <w:spacing w:val="0"/>
          <w:kern w:val="2"/>
          <w14:ligatures w14:val="standardContextual"/>
        </w:rPr>
        <w:t xml:space="preserve"> at bibeholde </w:t>
      </w:r>
      <w:r w:rsidR="005561CE">
        <w:rPr>
          <w:rFonts w:asciiTheme="minorHAnsi" w:hAnsiTheme="minorHAnsi"/>
          <w:spacing w:val="0"/>
          <w:kern w:val="2"/>
          <w14:ligatures w14:val="standardContextual"/>
        </w:rPr>
        <w:t>demografipuljen i Økonomiudvalgets regi</w:t>
      </w:r>
      <w:r w:rsidR="0018744B">
        <w:rPr>
          <w:rFonts w:asciiTheme="minorHAnsi" w:hAnsiTheme="minorHAnsi"/>
          <w:spacing w:val="0"/>
          <w:kern w:val="2"/>
          <w14:ligatures w14:val="standardContextual"/>
        </w:rPr>
        <w:t xml:space="preserve"> </w:t>
      </w:r>
      <w:r w:rsidR="005561CE">
        <w:rPr>
          <w:rFonts w:asciiTheme="minorHAnsi" w:hAnsiTheme="minorHAnsi"/>
          <w:spacing w:val="0"/>
          <w:kern w:val="2"/>
          <w14:ligatures w14:val="standardContextual"/>
        </w:rPr>
        <w:t>på 9,0 mio. kr. på det specialiserede voksensocialområde.</w:t>
      </w:r>
    </w:p>
    <w:sectPr w:rsidR="000D44AE" w:rsidRPr="00CD64F8" w:rsidSect="001F2F13">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9C69" w14:textId="77777777" w:rsidR="001F2F13" w:rsidRPr="002A75EC" w:rsidRDefault="001F2F13" w:rsidP="00291C7F">
      <w:pPr>
        <w:spacing w:line="240" w:lineRule="auto"/>
      </w:pPr>
      <w:r w:rsidRPr="002A75EC">
        <w:separator/>
      </w:r>
    </w:p>
    <w:p w14:paraId="609D4B59" w14:textId="77777777" w:rsidR="001F2F13" w:rsidRPr="002A75EC" w:rsidRDefault="001F2F13"/>
  </w:endnote>
  <w:endnote w:type="continuationSeparator" w:id="0">
    <w:p w14:paraId="4A6A1C11" w14:textId="77777777" w:rsidR="001F2F13" w:rsidRPr="002A75EC" w:rsidRDefault="001F2F13" w:rsidP="00291C7F">
      <w:pPr>
        <w:spacing w:line="240" w:lineRule="auto"/>
      </w:pPr>
      <w:r w:rsidRPr="002A75EC">
        <w:continuationSeparator/>
      </w:r>
    </w:p>
    <w:p w14:paraId="63C38EDE" w14:textId="77777777" w:rsidR="001F2F13" w:rsidRPr="002A75EC" w:rsidRDefault="001F2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0017" w14:textId="77777777" w:rsidR="00D657BC" w:rsidRPr="002A75EC" w:rsidRDefault="00D657BC" w:rsidP="00E83687"/>
  <w:p w14:paraId="389D1AD1" w14:textId="77777777" w:rsidR="00D918EF" w:rsidRPr="002A75EC" w:rsidRDefault="00D918EF" w:rsidP="00E83687">
    <w:r w:rsidRPr="002A75EC">
      <w:rPr>
        <w:noProof/>
        <w:lang w:eastAsia="da-DK"/>
      </w:rPr>
      <w:drawing>
        <wp:anchor distT="0" distB="0" distL="114300" distR="114300" simplePos="0" relativeHeight="251657216" behindDoc="0" locked="1" layoutInCell="0" allowOverlap="1" wp14:anchorId="23DC40FF" wp14:editId="53B64D7A">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2A75EC" w14:paraId="7E421F3D" w14:textId="77777777" w:rsidTr="00F319D5">
      <w:tc>
        <w:tcPr>
          <w:tcW w:w="8959" w:type="dxa"/>
        </w:tcPr>
        <w:p w14:paraId="7E1AA10F" w14:textId="77777777" w:rsidR="00D918EF" w:rsidRPr="002A75EC" w:rsidRDefault="00D918EF" w:rsidP="00F319D5">
          <w:pPr>
            <w:pStyle w:val="Afsender"/>
          </w:pPr>
        </w:p>
      </w:tc>
      <w:tc>
        <w:tcPr>
          <w:tcW w:w="454" w:type="dxa"/>
          <w:vAlign w:val="bottom"/>
        </w:tcPr>
        <w:p w14:paraId="5EA1BFA6" w14:textId="77777777" w:rsidR="00D918EF" w:rsidRPr="002A75EC" w:rsidRDefault="00D918EF" w:rsidP="00F319D5">
          <w:pPr>
            <w:pStyle w:val="Sidenummerering"/>
          </w:pPr>
          <w:r w:rsidRPr="002A75EC">
            <w:fldChar w:fldCharType="begin"/>
          </w:r>
          <w:r w:rsidRPr="002A75EC">
            <w:instrText>PAGE  \* Arabic  \* MERGEFORMAT</w:instrText>
          </w:r>
          <w:r w:rsidRPr="002A75EC">
            <w:fldChar w:fldCharType="separate"/>
          </w:r>
          <w:r w:rsidR="00855F39" w:rsidRPr="002A75EC">
            <w:rPr>
              <w:noProof/>
            </w:rPr>
            <w:t>2</w:t>
          </w:r>
          <w:r w:rsidRPr="002A75EC">
            <w:fldChar w:fldCharType="end"/>
          </w:r>
          <w:r w:rsidRPr="002A75EC">
            <w:t>/</w:t>
          </w:r>
          <w:r w:rsidR="00C64946" w:rsidRPr="002A75EC">
            <w:rPr>
              <w:noProof/>
            </w:rPr>
            <w:fldChar w:fldCharType="begin"/>
          </w:r>
          <w:r w:rsidR="00C64946" w:rsidRPr="002A75EC">
            <w:rPr>
              <w:noProof/>
            </w:rPr>
            <w:instrText>NUMPAGES  \* Arabic  \* MERGEFORMAT</w:instrText>
          </w:r>
          <w:r w:rsidR="00C64946" w:rsidRPr="002A75EC">
            <w:rPr>
              <w:noProof/>
            </w:rPr>
            <w:fldChar w:fldCharType="separate"/>
          </w:r>
          <w:r w:rsidR="00855F39" w:rsidRPr="002A75EC">
            <w:rPr>
              <w:noProof/>
            </w:rPr>
            <w:t>2</w:t>
          </w:r>
          <w:r w:rsidR="00C64946" w:rsidRPr="002A75EC">
            <w:rPr>
              <w:noProof/>
            </w:rPr>
            <w:fldChar w:fldCharType="end"/>
          </w:r>
        </w:p>
      </w:tc>
    </w:tr>
  </w:tbl>
  <w:p w14:paraId="49B5627E" w14:textId="77777777" w:rsidR="00D918EF" w:rsidRPr="002A75EC"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2A75EC" w14:paraId="07C57121" w14:textId="77777777" w:rsidTr="00017B6B">
      <w:trPr>
        <w:trHeight w:val="2211"/>
      </w:trPr>
      <w:tc>
        <w:tcPr>
          <w:tcW w:w="397" w:type="dxa"/>
          <w:vAlign w:val="bottom"/>
        </w:tcPr>
        <w:p w14:paraId="025EBEAC" w14:textId="77777777" w:rsidR="00863C79" w:rsidRPr="002A75EC" w:rsidRDefault="00863C79" w:rsidP="00017B6B">
          <w:pPr>
            <w:pStyle w:val="Sidenummerering"/>
          </w:pPr>
          <w:r w:rsidRPr="002A75EC">
            <w:br/>
          </w:r>
          <w:r w:rsidRPr="002A75EC">
            <w:br/>
          </w:r>
          <w:r w:rsidRPr="002A75EC">
            <w:br/>
          </w:r>
          <w:r w:rsidRPr="002A75EC">
            <w:br/>
          </w:r>
          <w:r w:rsidRPr="002A75EC">
            <w:br/>
          </w:r>
          <w:r w:rsidRPr="002A75EC">
            <w:br/>
          </w:r>
          <w:r w:rsidRPr="002A75EC">
            <w:br/>
          </w:r>
          <w:r w:rsidRPr="002A75EC">
            <w:br/>
          </w:r>
          <w:r w:rsidRPr="002A75EC">
            <w:br/>
          </w:r>
          <w:r w:rsidRPr="002A75EC">
            <w:fldChar w:fldCharType="begin"/>
          </w:r>
          <w:r w:rsidRPr="002A75EC">
            <w:instrText xml:space="preserve"> PAGE   \* MERGEFORMAT </w:instrText>
          </w:r>
          <w:r w:rsidRPr="002A75EC">
            <w:fldChar w:fldCharType="separate"/>
          </w:r>
          <w:r w:rsidRPr="002A75EC">
            <w:rPr>
              <w:noProof/>
            </w:rPr>
            <w:t>2</w:t>
          </w:r>
          <w:r w:rsidRPr="002A75EC">
            <w:fldChar w:fldCharType="end"/>
          </w:r>
          <w:r w:rsidRPr="002A75EC">
            <w:rPr>
              <w:noProof/>
              <w:lang w:eastAsia="da-DK"/>
            </w:rPr>
            <w:drawing>
              <wp:anchor distT="0" distB="0" distL="114300" distR="114300" simplePos="0" relativeHeight="251659264" behindDoc="0" locked="0" layoutInCell="0" allowOverlap="1" wp14:anchorId="703D95DF" wp14:editId="05AB718B">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75EC">
            <w:t>/</w:t>
          </w:r>
          <w:r w:rsidR="000F6370">
            <w:fldChar w:fldCharType="begin"/>
          </w:r>
          <w:r w:rsidR="000F6370">
            <w:instrText xml:space="preserve"> NUMPAGES   \* MERGEFORMAT </w:instrText>
          </w:r>
          <w:r w:rsidR="000F6370">
            <w:fldChar w:fldCharType="separate"/>
          </w:r>
          <w:r w:rsidRPr="002A75EC">
            <w:rPr>
              <w:noProof/>
            </w:rPr>
            <w:t>2</w:t>
          </w:r>
          <w:r w:rsidR="000F6370">
            <w:rPr>
              <w:noProof/>
            </w:rPr>
            <w:fldChar w:fldCharType="end"/>
          </w:r>
        </w:p>
      </w:tc>
    </w:tr>
  </w:tbl>
  <w:p w14:paraId="3C91ABA6" w14:textId="77777777" w:rsidR="00F177AC" w:rsidRPr="002A75EC" w:rsidRDefault="00F177AC" w:rsidP="00F177AC">
    <w:pPr>
      <w:pStyle w:val="Sidefod"/>
    </w:pPr>
  </w:p>
  <w:p w14:paraId="3B72D3AA" w14:textId="77777777" w:rsidR="00F177AC" w:rsidRPr="002A75EC" w:rsidRDefault="00F177AC" w:rsidP="00F177AC">
    <w:pPr>
      <w:pStyle w:val="Sidefod"/>
    </w:pPr>
  </w:p>
  <w:p w14:paraId="3F2EFF8B" w14:textId="77777777" w:rsidR="00F177AC" w:rsidRPr="002A75EC" w:rsidRDefault="00F177AC" w:rsidP="00F177AC">
    <w:pPr>
      <w:pStyle w:val="Sidefod"/>
    </w:pPr>
  </w:p>
  <w:p w14:paraId="090E48B9" w14:textId="77777777" w:rsidR="00F177AC" w:rsidRPr="002A75EC" w:rsidRDefault="00F177AC" w:rsidP="00F177AC">
    <w:pPr>
      <w:pStyle w:val="Sidefod"/>
    </w:pPr>
  </w:p>
  <w:p w14:paraId="040890CA" w14:textId="77777777" w:rsidR="00F177AC" w:rsidRPr="002A75EC" w:rsidRDefault="00F177AC" w:rsidP="00F177AC">
    <w:pPr>
      <w:pStyle w:val="Sidefod"/>
    </w:pPr>
  </w:p>
  <w:p w14:paraId="57A755F8" w14:textId="77777777" w:rsidR="00F177AC" w:rsidRPr="002A75EC" w:rsidRDefault="00F177AC" w:rsidP="00F177AC">
    <w:pPr>
      <w:pStyle w:val="Sidefod"/>
    </w:pPr>
  </w:p>
  <w:p w14:paraId="4999FAF6" w14:textId="77777777" w:rsidR="00F177AC" w:rsidRPr="002A75EC" w:rsidRDefault="00F177AC" w:rsidP="00F177AC">
    <w:pPr>
      <w:pStyle w:val="Sidefod"/>
    </w:pPr>
  </w:p>
  <w:p w14:paraId="333D907A" w14:textId="77777777" w:rsidR="00F177AC" w:rsidRPr="002A75EC" w:rsidRDefault="00F177AC" w:rsidP="00F177AC">
    <w:pPr>
      <w:pStyle w:val="Sidefod"/>
    </w:pPr>
  </w:p>
  <w:p w14:paraId="5BDC5B61" w14:textId="77777777" w:rsidR="00F177AC" w:rsidRPr="002A75EC" w:rsidRDefault="00F177AC" w:rsidP="00F177AC">
    <w:pPr>
      <w:pStyle w:val="Sidefod"/>
      <w:spacing w:line="20" w:lineRule="exact"/>
    </w:pPr>
    <w:bookmarkStart w:id="0" w:name="bmkCampaign"/>
    <w:bookmarkEnd w:id="0"/>
  </w:p>
  <w:p w14:paraId="2FAA87E2" w14:textId="77777777" w:rsidR="00863C79" w:rsidRPr="002A75EC"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0F80" w14:textId="77777777" w:rsidR="001F2F13" w:rsidRPr="002A75EC" w:rsidRDefault="001F2F13" w:rsidP="00291C7F">
      <w:pPr>
        <w:spacing w:line="240" w:lineRule="auto"/>
      </w:pPr>
      <w:r w:rsidRPr="002A75EC">
        <w:separator/>
      </w:r>
    </w:p>
    <w:p w14:paraId="7649581F" w14:textId="77777777" w:rsidR="001F2F13" w:rsidRPr="002A75EC" w:rsidRDefault="001F2F13"/>
  </w:footnote>
  <w:footnote w:type="continuationSeparator" w:id="0">
    <w:p w14:paraId="39383692" w14:textId="77777777" w:rsidR="001F2F13" w:rsidRPr="002A75EC" w:rsidRDefault="001F2F13" w:rsidP="00291C7F">
      <w:pPr>
        <w:spacing w:line="240" w:lineRule="auto"/>
      </w:pPr>
      <w:r w:rsidRPr="002A75EC">
        <w:continuationSeparator/>
      </w:r>
    </w:p>
    <w:p w14:paraId="3C925D13" w14:textId="77777777" w:rsidR="001F2F13" w:rsidRPr="002A75EC" w:rsidRDefault="001F2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E6DE" w14:textId="77777777" w:rsidR="00D918EF" w:rsidRPr="002A75EC"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2A75EC" w14:paraId="3FD28B8E" w14:textId="77777777" w:rsidTr="00D918EF">
      <w:trPr>
        <w:cantSplit/>
        <w:trHeight w:val="15309"/>
      </w:trPr>
      <w:tc>
        <w:tcPr>
          <w:tcW w:w="0" w:type="auto"/>
          <w:tcBorders>
            <w:top w:val="nil"/>
            <w:left w:val="nil"/>
            <w:bottom w:val="nil"/>
            <w:right w:val="nil"/>
          </w:tcBorders>
          <w:textDirection w:val="tbRl"/>
        </w:tcPr>
        <w:p w14:paraId="245A85FA" w14:textId="77777777" w:rsidR="00D918EF" w:rsidRPr="002A75EC" w:rsidRDefault="002A75EC" w:rsidP="002A75EC">
          <w:pPr>
            <w:pStyle w:val="MargenWebadresse"/>
            <w:rPr>
              <w:spacing w:val="0"/>
            </w:rPr>
          </w:pPr>
          <w:r w:rsidRPr="002A75EC">
            <w:t>Notat</w:t>
          </w:r>
        </w:p>
      </w:tc>
    </w:tr>
  </w:tbl>
  <w:p w14:paraId="0B40A839" w14:textId="77777777" w:rsidR="00D918EF" w:rsidRPr="002A75EC"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3ABF" w14:textId="77777777" w:rsidR="00D918EF" w:rsidRPr="002A75EC" w:rsidRDefault="002A75EC" w:rsidP="00E77668">
    <w:r>
      <w:rPr>
        <w:noProof/>
      </w:rPr>
      <w:drawing>
        <wp:anchor distT="0" distB="0" distL="114300" distR="114300" simplePos="0" relativeHeight="251660288" behindDoc="1" locked="0" layoutInCell="1" allowOverlap="1" wp14:anchorId="13C72F2B" wp14:editId="5B694309">
          <wp:simplePos x="0" y="0"/>
          <wp:positionH relativeFrom="page">
            <wp:posOffset>2894965</wp:posOffset>
          </wp:positionH>
          <wp:positionV relativeFrom="page">
            <wp:posOffset>269875</wp:posOffset>
          </wp:positionV>
          <wp:extent cx="3800475" cy="542925"/>
          <wp:effectExtent l="0" t="0" r="9525" b="9525"/>
          <wp:wrapNone/>
          <wp:docPr id="880945985" name="Billede 1" descr="Logo" title="Logo"/>
          <wp:cNvGraphicFramePr/>
          <a:graphic xmlns:a="http://schemas.openxmlformats.org/drawingml/2006/main">
            <a:graphicData uri="http://schemas.openxmlformats.org/drawingml/2006/picture">
              <pic:pic xmlns:pic="http://schemas.openxmlformats.org/drawingml/2006/picture">
                <pic:nvPicPr>
                  <pic:cNvPr id="88094598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134C5F05" w14:textId="77777777" w:rsidR="00D918EF" w:rsidRPr="002A75EC" w:rsidRDefault="00D918EF" w:rsidP="00E77668"/>
  <w:p w14:paraId="73E60E0B" w14:textId="77777777" w:rsidR="00D918EF" w:rsidRPr="002A75EC" w:rsidRDefault="00D918EF" w:rsidP="00E77668"/>
  <w:p w14:paraId="5BB5A3EC" w14:textId="77777777" w:rsidR="00D918EF" w:rsidRPr="002A75EC" w:rsidRDefault="00D918EF" w:rsidP="00E77668"/>
  <w:p w14:paraId="625E6C2D" w14:textId="77777777" w:rsidR="00D918EF" w:rsidRPr="002A75EC" w:rsidRDefault="00D918EF" w:rsidP="00E77668"/>
  <w:p w14:paraId="5B68D336" w14:textId="77777777" w:rsidR="00D918EF" w:rsidRPr="002A75EC" w:rsidRDefault="00D918EF" w:rsidP="00E77668"/>
  <w:p w14:paraId="5F7BA8CA" w14:textId="77777777" w:rsidR="00D918EF" w:rsidRPr="002A75EC"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2A75EC" w14:paraId="7DAECDE6" w14:textId="77777777" w:rsidTr="00017B6B">
      <w:trPr>
        <w:cantSplit/>
        <w:trHeight w:val="15309"/>
      </w:trPr>
      <w:tc>
        <w:tcPr>
          <w:tcW w:w="0" w:type="auto"/>
          <w:tcBorders>
            <w:top w:val="nil"/>
            <w:left w:val="nil"/>
            <w:bottom w:val="nil"/>
            <w:right w:val="nil"/>
          </w:tcBorders>
          <w:textDirection w:val="tbRl"/>
        </w:tcPr>
        <w:p w14:paraId="260735FC" w14:textId="77777777" w:rsidR="00D918EF" w:rsidRPr="002A75EC" w:rsidRDefault="002A75EC" w:rsidP="002A75EC">
          <w:pPr>
            <w:pStyle w:val="MargenWebadresse"/>
            <w:rPr>
              <w:spacing w:val="0"/>
            </w:rPr>
          </w:pPr>
          <w:r w:rsidRPr="002A75EC">
            <w:t>Notat</w:t>
          </w:r>
        </w:p>
      </w:tc>
    </w:tr>
  </w:tbl>
  <w:p w14:paraId="361DEA17" w14:textId="77777777" w:rsidR="00D918EF" w:rsidRPr="002A75EC"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90F"/>
    <w:multiLevelType w:val="hybridMultilevel"/>
    <w:tmpl w:val="B76E8394"/>
    <w:lvl w:ilvl="0" w:tplc="59AE02A4">
      <w:start w:val="1"/>
      <w:numFmt w:val="decimal"/>
      <w:lvlText w:val="%1)"/>
      <w:lvlJc w:val="left"/>
      <w:pPr>
        <w:ind w:left="765" w:hanging="360"/>
      </w:pPr>
      <w:rPr>
        <w:rFonts w:asciiTheme="minorHAnsi" w:eastAsiaTheme="minorHAnsi" w:hAnsiTheme="minorHAnsi" w:cstheme="minorBidi"/>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111E6348"/>
    <w:multiLevelType w:val="hybridMultilevel"/>
    <w:tmpl w:val="31922A3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4083AB3"/>
    <w:multiLevelType w:val="multilevel"/>
    <w:tmpl w:val="FB86D7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9F1628F"/>
    <w:multiLevelType w:val="hybridMultilevel"/>
    <w:tmpl w:val="595CB9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3DA7E7E"/>
    <w:multiLevelType w:val="hybridMultilevel"/>
    <w:tmpl w:val="09E6FD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C5505C4"/>
    <w:multiLevelType w:val="hybridMultilevel"/>
    <w:tmpl w:val="A2C6EECC"/>
    <w:lvl w:ilvl="0" w:tplc="07B856B8">
      <w:start w:val="2"/>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FA6C71"/>
    <w:multiLevelType w:val="hybridMultilevel"/>
    <w:tmpl w:val="7AE87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0E735E"/>
    <w:multiLevelType w:val="hybridMultilevel"/>
    <w:tmpl w:val="61AEDA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D4D7DE7"/>
    <w:multiLevelType w:val="hybridMultilevel"/>
    <w:tmpl w:val="61AED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0E2297"/>
    <w:multiLevelType w:val="hybridMultilevel"/>
    <w:tmpl w:val="6B980A90"/>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num w:numId="1" w16cid:durableId="497577219">
    <w:abstractNumId w:val="7"/>
  </w:num>
  <w:num w:numId="2" w16cid:durableId="1178928308">
    <w:abstractNumId w:val="3"/>
  </w:num>
  <w:num w:numId="3" w16cid:durableId="933199851">
    <w:abstractNumId w:val="2"/>
  </w:num>
  <w:num w:numId="4" w16cid:durableId="1652902403">
    <w:abstractNumId w:val="8"/>
  </w:num>
  <w:num w:numId="5" w16cid:durableId="576672585">
    <w:abstractNumId w:val="5"/>
  </w:num>
  <w:num w:numId="6" w16cid:durableId="1942683961">
    <w:abstractNumId w:val="1"/>
  </w:num>
  <w:num w:numId="7" w16cid:durableId="1592423885">
    <w:abstractNumId w:val="9"/>
  </w:num>
  <w:num w:numId="8" w16cid:durableId="1256671298">
    <w:abstractNumId w:val="6"/>
  </w:num>
  <w:num w:numId="9" w16cid:durableId="25329268">
    <w:abstractNumId w:val="0"/>
  </w:num>
  <w:num w:numId="10" w16cid:durableId="1393623593">
    <w:abstractNumId w:val="4"/>
  </w:num>
  <w:num w:numId="11" w16cid:durableId="5744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0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PHCipfwY9LnE7eA9AD5spA=="/>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eB26b3Plg9e57qlw9bXdDA=="/>
    <w:docVar w:name="Encrypted_DialogFieldValue_sendername" w:val="Zmjw3JrL2H4bYMH4YRuoBQ=="/>
    <w:docVar w:name="Encrypted_DialogFieldValue_senderpostalcode" w:val="QHhEY8jc1X3vY9F9INfl1Q=="/>
    <w:docVar w:name="Encrypted_DocHeader" w:val="Q0XWo4GJBJiTS2GAZn+orA=="/>
    <w:docVar w:name="Encrypted_DocumentChangeThisVar" w:val="Go1BF8BBsJqqGsR1izlsvQ=="/>
    <w:docVar w:name="IntegrationType" w:val="StandAlone"/>
  </w:docVars>
  <w:rsids>
    <w:rsidRoot w:val="002A75EC"/>
    <w:rsid w:val="00004AA3"/>
    <w:rsid w:val="000072C5"/>
    <w:rsid w:val="00013EA4"/>
    <w:rsid w:val="00014751"/>
    <w:rsid w:val="00014A0A"/>
    <w:rsid w:val="00017B6B"/>
    <w:rsid w:val="00017C17"/>
    <w:rsid w:val="0002066C"/>
    <w:rsid w:val="000222CA"/>
    <w:rsid w:val="00023F51"/>
    <w:rsid w:val="00025FC1"/>
    <w:rsid w:val="00027C81"/>
    <w:rsid w:val="00033891"/>
    <w:rsid w:val="00035465"/>
    <w:rsid w:val="0004385B"/>
    <w:rsid w:val="0004516D"/>
    <w:rsid w:val="00053DF0"/>
    <w:rsid w:val="000631F5"/>
    <w:rsid w:val="0006573B"/>
    <w:rsid w:val="00071422"/>
    <w:rsid w:val="000741F7"/>
    <w:rsid w:val="00083C31"/>
    <w:rsid w:val="00084FB3"/>
    <w:rsid w:val="00087B33"/>
    <w:rsid w:val="000900FD"/>
    <w:rsid w:val="00090592"/>
    <w:rsid w:val="00093A80"/>
    <w:rsid w:val="00094B58"/>
    <w:rsid w:val="00095CCB"/>
    <w:rsid w:val="00096664"/>
    <w:rsid w:val="00097FC7"/>
    <w:rsid w:val="000A06BE"/>
    <w:rsid w:val="000A0A49"/>
    <w:rsid w:val="000A3E38"/>
    <w:rsid w:val="000A70B5"/>
    <w:rsid w:val="000C565C"/>
    <w:rsid w:val="000C5D00"/>
    <w:rsid w:val="000D0A4A"/>
    <w:rsid w:val="000D115A"/>
    <w:rsid w:val="000D44AE"/>
    <w:rsid w:val="000F1D4D"/>
    <w:rsid w:val="000F6370"/>
    <w:rsid w:val="000F66A1"/>
    <w:rsid w:val="001018AE"/>
    <w:rsid w:val="001025F1"/>
    <w:rsid w:val="00111B40"/>
    <w:rsid w:val="001126A5"/>
    <w:rsid w:val="00115670"/>
    <w:rsid w:val="00122947"/>
    <w:rsid w:val="00123B45"/>
    <w:rsid w:val="001245B3"/>
    <w:rsid w:val="00127F2E"/>
    <w:rsid w:val="00130DA6"/>
    <w:rsid w:val="001314E8"/>
    <w:rsid w:val="00132880"/>
    <w:rsid w:val="00132F3E"/>
    <w:rsid w:val="001467C7"/>
    <w:rsid w:val="00147A63"/>
    <w:rsid w:val="00162522"/>
    <w:rsid w:val="001669FC"/>
    <w:rsid w:val="00172B60"/>
    <w:rsid w:val="0017431F"/>
    <w:rsid w:val="00174EE3"/>
    <w:rsid w:val="00182AB8"/>
    <w:rsid w:val="001849C2"/>
    <w:rsid w:val="0018744B"/>
    <w:rsid w:val="001940DA"/>
    <w:rsid w:val="0019495C"/>
    <w:rsid w:val="001952BE"/>
    <w:rsid w:val="00197BA9"/>
    <w:rsid w:val="001A2DCF"/>
    <w:rsid w:val="001A5CE4"/>
    <w:rsid w:val="001A5E82"/>
    <w:rsid w:val="001B1D11"/>
    <w:rsid w:val="001C1494"/>
    <w:rsid w:val="001C18F6"/>
    <w:rsid w:val="001C281C"/>
    <w:rsid w:val="001C5C28"/>
    <w:rsid w:val="001C752F"/>
    <w:rsid w:val="001C7E04"/>
    <w:rsid w:val="001D5A2E"/>
    <w:rsid w:val="001E53D1"/>
    <w:rsid w:val="001E5BCB"/>
    <w:rsid w:val="001F1102"/>
    <w:rsid w:val="001F2CC6"/>
    <w:rsid w:val="001F2F13"/>
    <w:rsid w:val="001F6C34"/>
    <w:rsid w:val="002038F3"/>
    <w:rsid w:val="00204C2C"/>
    <w:rsid w:val="00213029"/>
    <w:rsid w:val="00213B81"/>
    <w:rsid w:val="00214B64"/>
    <w:rsid w:val="00216319"/>
    <w:rsid w:val="00216866"/>
    <w:rsid w:val="00216DE1"/>
    <w:rsid w:val="00224387"/>
    <w:rsid w:val="0022616F"/>
    <w:rsid w:val="0023418B"/>
    <w:rsid w:val="00242B2A"/>
    <w:rsid w:val="00242D14"/>
    <w:rsid w:val="002446B8"/>
    <w:rsid w:val="00247E20"/>
    <w:rsid w:val="00250E2D"/>
    <w:rsid w:val="00252B5A"/>
    <w:rsid w:val="0025606C"/>
    <w:rsid w:val="00260C6D"/>
    <w:rsid w:val="002672B5"/>
    <w:rsid w:val="002847E0"/>
    <w:rsid w:val="00285662"/>
    <w:rsid w:val="00286C88"/>
    <w:rsid w:val="00287F78"/>
    <w:rsid w:val="002912DF"/>
    <w:rsid w:val="00291C7F"/>
    <w:rsid w:val="00293628"/>
    <w:rsid w:val="002A75EC"/>
    <w:rsid w:val="002B099A"/>
    <w:rsid w:val="002B5410"/>
    <w:rsid w:val="002C14DA"/>
    <w:rsid w:val="002C6145"/>
    <w:rsid w:val="002D4AEF"/>
    <w:rsid w:val="002E12DF"/>
    <w:rsid w:val="002E40C2"/>
    <w:rsid w:val="002E6029"/>
    <w:rsid w:val="002F3998"/>
    <w:rsid w:val="002F4C45"/>
    <w:rsid w:val="00300B16"/>
    <w:rsid w:val="003031B5"/>
    <w:rsid w:val="00303581"/>
    <w:rsid w:val="00306561"/>
    <w:rsid w:val="00310C6F"/>
    <w:rsid w:val="003118C0"/>
    <w:rsid w:val="003148D4"/>
    <w:rsid w:val="003224BD"/>
    <w:rsid w:val="00323E75"/>
    <w:rsid w:val="00331B74"/>
    <w:rsid w:val="00332004"/>
    <w:rsid w:val="00334C63"/>
    <w:rsid w:val="00334ED4"/>
    <w:rsid w:val="003356C7"/>
    <w:rsid w:val="003375BE"/>
    <w:rsid w:val="00341B3B"/>
    <w:rsid w:val="00342A5F"/>
    <w:rsid w:val="00342ADF"/>
    <w:rsid w:val="00357F5B"/>
    <w:rsid w:val="00360F2F"/>
    <w:rsid w:val="00362B12"/>
    <w:rsid w:val="003730E0"/>
    <w:rsid w:val="00375AA8"/>
    <w:rsid w:val="00383D23"/>
    <w:rsid w:val="00384425"/>
    <w:rsid w:val="003864A0"/>
    <w:rsid w:val="003864F6"/>
    <w:rsid w:val="00395C7D"/>
    <w:rsid w:val="0039785B"/>
    <w:rsid w:val="00397E5F"/>
    <w:rsid w:val="003A5199"/>
    <w:rsid w:val="003B0EDE"/>
    <w:rsid w:val="003B22D5"/>
    <w:rsid w:val="003B48C5"/>
    <w:rsid w:val="003C05B9"/>
    <w:rsid w:val="003C17C4"/>
    <w:rsid w:val="003C54FF"/>
    <w:rsid w:val="003C5879"/>
    <w:rsid w:val="003C7075"/>
    <w:rsid w:val="003D09DF"/>
    <w:rsid w:val="003D105A"/>
    <w:rsid w:val="003D2ADA"/>
    <w:rsid w:val="003D3E52"/>
    <w:rsid w:val="003E0167"/>
    <w:rsid w:val="003E4197"/>
    <w:rsid w:val="003E66D4"/>
    <w:rsid w:val="003F19EB"/>
    <w:rsid w:val="003F5357"/>
    <w:rsid w:val="003F537D"/>
    <w:rsid w:val="003F715A"/>
    <w:rsid w:val="0040143E"/>
    <w:rsid w:val="004022F2"/>
    <w:rsid w:val="004032D5"/>
    <w:rsid w:val="004073CC"/>
    <w:rsid w:val="00411EF9"/>
    <w:rsid w:val="0041231D"/>
    <w:rsid w:val="004127DF"/>
    <w:rsid w:val="0041558D"/>
    <w:rsid w:val="00415B6B"/>
    <w:rsid w:val="00416ED1"/>
    <w:rsid w:val="004235D3"/>
    <w:rsid w:val="00424B14"/>
    <w:rsid w:val="004365A6"/>
    <w:rsid w:val="004365C8"/>
    <w:rsid w:val="00443032"/>
    <w:rsid w:val="004441A9"/>
    <w:rsid w:val="0044603C"/>
    <w:rsid w:val="004469FC"/>
    <w:rsid w:val="00447B60"/>
    <w:rsid w:val="004519A0"/>
    <w:rsid w:val="00451C3C"/>
    <w:rsid w:val="00453D00"/>
    <w:rsid w:val="004565A2"/>
    <w:rsid w:val="004604BD"/>
    <w:rsid w:val="00460835"/>
    <w:rsid w:val="00473CFB"/>
    <w:rsid w:val="0047573F"/>
    <w:rsid w:val="00476531"/>
    <w:rsid w:val="00476E76"/>
    <w:rsid w:val="004800F3"/>
    <w:rsid w:val="004827CC"/>
    <w:rsid w:val="0048472D"/>
    <w:rsid w:val="00487831"/>
    <w:rsid w:val="00492B2E"/>
    <w:rsid w:val="00493743"/>
    <w:rsid w:val="00495ED9"/>
    <w:rsid w:val="00496DDF"/>
    <w:rsid w:val="004A5B98"/>
    <w:rsid w:val="004A6D41"/>
    <w:rsid w:val="004B6878"/>
    <w:rsid w:val="004B7094"/>
    <w:rsid w:val="004C2138"/>
    <w:rsid w:val="004C2A76"/>
    <w:rsid w:val="004C3496"/>
    <w:rsid w:val="004C41EC"/>
    <w:rsid w:val="004D48EE"/>
    <w:rsid w:val="004D5B87"/>
    <w:rsid w:val="004E1A1A"/>
    <w:rsid w:val="004E2842"/>
    <w:rsid w:val="004E5DBD"/>
    <w:rsid w:val="004E5DE9"/>
    <w:rsid w:val="004F092D"/>
    <w:rsid w:val="004F1697"/>
    <w:rsid w:val="004F1F54"/>
    <w:rsid w:val="005014E0"/>
    <w:rsid w:val="00505581"/>
    <w:rsid w:val="00506B08"/>
    <w:rsid w:val="00511269"/>
    <w:rsid w:val="00513DED"/>
    <w:rsid w:val="0051714E"/>
    <w:rsid w:val="005178B8"/>
    <w:rsid w:val="005224CB"/>
    <w:rsid w:val="00522FFD"/>
    <w:rsid w:val="005236BD"/>
    <w:rsid w:val="00525274"/>
    <w:rsid w:val="00525731"/>
    <w:rsid w:val="00530C86"/>
    <w:rsid w:val="00531AEA"/>
    <w:rsid w:val="00540BC8"/>
    <w:rsid w:val="005479BF"/>
    <w:rsid w:val="005501AF"/>
    <w:rsid w:val="005526A1"/>
    <w:rsid w:val="005561CE"/>
    <w:rsid w:val="005624D9"/>
    <w:rsid w:val="00566D20"/>
    <w:rsid w:val="005670E9"/>
    <w:rsid w:val="005718E9"/>
    <w:rsid w:val="0057641D"/>
    <w:rsid w:val="00580653"/>
    <w:rsid w:val="00581F3F"/>
    <w:rsid w:val="0058356B"/>
    <w:rsid w:val="00592941"/>
    <w:rsid w:val="00593890"/>
    <w:rsid w:val="00593E40"/>
    <w:rsid w:val="005A3369"/>
    <w:rsid w:val="005A4D25"/>
    <w:rsid w:val="005B111E"/>
    <w:rsid w:val="005B5CE4"/>
    <w:rsid w:val="005D4994"/>
    <w:rsid w:val="005D558F"/>
    <w:rsid w:val="005D6F46"/>
    <w:rsid w:val="005D7E74"/>
    <w:rsid w:val="005F1BEC"/>
    <w:rsid w:val="005F3463"/>
    <w:rsid w:val="005F65B8"/>
    <w:rsid w:val="006015C1"/>
    <w:rsid w:val="00602E62"/>
    <w:rsid w:val="00607DE5"/>
    <w:rsid w:val="0061509E"/>
    <w:rsid w:val="00617FB6"/>
    <w:rsid w:val="006322BD"/>
    <w:rsid w:val="00632FAE"/>
    <w:rsid w:val="006343C5"/>
    <w:rsid w:val="0063695A"/>
    <w:rsid w:val="00656D73"/>
    <w:rsid w:val="00660155"/>
    <w:rsid w:val="00666516"/>
    <w:rsid w:val="0067016C"/>
    <w:rsid w:val="006721B2"/>
    <w:rsid w:val="00673934"/>
    <w:rsid w:val="00676BA4"/>
    <w:rsid w:val="00685397"/>
    <w:rsid w:val="006863DA"/>
    <w:rsid w:val="00690D94"/>
    <w:rsid w:val="006925EC"/>
    <w:rsid w:val="00693091"/>
    <w:rsid w:val="006A409C"/>
    <w:rsid w:val="006B402E"/>
    <w:rsid w:val="006B6486"/>
    <w:rsid w:val="006B688F"/>
    <w:rsid w:val="006C2796"/>
    <w:rsid w:val="006C419A"/>
    <w:rsid w:val="006D0F21"/>
    <w:rsid w:val="006D230F"/>
    <w:rsid w:val="006D4B69"/>
    <w:rsid w:val="006D50C5"/>
    <w:rsid w:val="006D77CB"/>
    <w:rsid w:val="006E0998"/>
    <w:rsid w:val="006E2D6A"/>
    <w:rsid w:val="006E4FD9"/>
    <w:rsid w:val="006E6646"/>
    <w:rsid w:val="006F20DE"/>
    <w:rsid w:val="006F37C6"/>
    <w:rsid w:val="006F45F9"/>
    <w:rsid w:val="00703EB1"/>
    <w:rsid w:val="00706EB7"/>
    <w:rsid w:val="00724C27"/>
    <w:rsid w:val="00726151"/>
    <w:rsid w:val="007278FA"/>
    <w:rsid w:val="00730291"/>
    <w:rsid w:val="00730B2C"/>
    <w:rsid w:val="00730F03"/>
    <w:rsid w:val="00732EF5"/>
    <w:rsid w:val="00741E56"/>
    <w:rsid w:val="00742180"/>
    <w:rsid w:val="00750A92"/>
    <w:rsid w:val="007613BD"/>
    <w:rsid w:val="0076435E"/>
    <w:rsid w:val="0078196C"/>
    <w:rsid w:val="00782332"/>
    <w:rsid w:val="007831CC"/>
    <w:rsid w:val="00792C3E"/>
    <w:rsid w:val="00792D2E"/>
    <w:rsid w:val="0079604F"/>
    <w:rsid w:val="00796525"/>
    <w:rsid w:val="007A1951"/>
    <w:rsid w:val="007A2DBD"/>
    <w:rsid w:val="007B0CF0"/>
    <w:rsid w:val="007B0F2E"/>
    <w:rsid w:val="007B2FB8"/>
    <w:rsid w:val="007B5663"/>
    <w:rsid w:val="007C52A5"/>
    <w:rsid w:val="007C5B2F"/>
    <w:rsid w:val="007C7156"/>
    <w:rsid w:val="007D3337"/>
    <w:rsid w:val="007D5070"/>
    <w:rsid w:val="007D5894"/>
    <w:rsid w:val="007D6808"/>
    <w:rsid w:val="007D707C"/>
    <w:rsid w:val="007E1890"/>
    <w:rsid w:val="007E7651"/>
    <w:rsid w:val="007F1419"/>
    <w:rsid w:val="00805E42"/>
    <w:rsid w:val="00815109"/>
    <w:rsid w:val="00823698"/>
    <w:rsid w:val="00825B60"/>
    <w:rsid w:val="00832B91"/>
    <w:rsid w:val="00832C57"/>
    <w:rsid w:val="008330EB"/>
    <w:rsid w:val="00835124"/>
    <w:rsid w:val="008427D7"/>
    <w:rsid w:val="00844CBF"/>
    <w:rsid w:val="008455D8"/>
    <w:rsid w:val="00845A45"/>
    <w:rsid w:val="008509C5"/>
    <w:rsid w:val="00854CC5"/>
    <w:rsid w:val="00855F39"/>
    <w:rsid w:val="00857F7D"/>
    <w:rsid w:val="00861FF0"/>
    <w:rsid w:val="00862C9E"/>
    <w:rsid w:val="00863C79"/>
    <w:rsid w:val="00865142"/>
    <w:rsid w:val="00867C41"/>
    <w:rsid w:val="008706BD"/>
    <w:rsid w:val="00872A3A"/>
    <w:rsid w:val="00873729"/>
    <w:rsid w:val="00877DA0"/>
    <w:rsid w:val="00884211"/>
    <w:rsid w:val="008843FA"/>
    <w:rsid w:val="00886AC1"/>
    <w:rsid w:val="008874A9"/>
    <w:rsid w:val="00893AED"/>
    <w:rsid w:val="00893D9C"/>
    <w:rsid w:val="008A0CC0"/>
    <w:rsid w:val="008A44FB"/>
    <w:rsid w:val="008A48A1"/>
    <w:rsid w:val="008B07F5"/>
    <w:rsid w:val="008B094D"/>
    <w:rsid w:val="008B172A"/>
    <w:rsid w:val="008B2178"/>
    <w:rsid w:val="008B2870"/>
    <w:rsid w:val="008B3B72"/>
    <w:rsid w:val="008B5CF0"/>
    <w:rsid w:val="008C4161"/>
    <w:rsid w:val="008C633B"/>
    <w:rsid w:val="008D1E42"/>
    <w:rsid w:val="008D62D4"/>
    <w:rsid w:val="008E331C"/>
    <w:rsid w:val="008E3752"/>
    <w:rsid w:val="008E5BDF"/>
    <w:rsid w:val="008F3609"/>
    <w:rsid w:val="009021F4"/>
    <w:rsid w:val="00903D1F"/>
    <w:rsid w:val="009050DB"/>
    <w:rsid w:val="009102CF"/>
    <w:rsid w:val="00911B8E"/>
    <w:rsid w:val="009123DB"/>
    <w:rsid w:val="0091594D"/>
    <w:rsid w:val="0091726C"/>
    <w:rsid w:val="0092571D"/>
    <w:rsid w:val="009306F9"/>
    <w:rsid w:val="0093285E"/>
    <w:rsid w:val="00934071"/>
    <w:rsid w:val="009344B9"/>
    <w:rsid w:val="00935119"/>
    <w:rsid w:val="00940325"/>
    <w:rsid w:val="00942218"/>
    <w:rsid w:val="00951B47"/>
    <w:rsid w:val="00951F3C"/>
    <w:rsid w:val="00956A0F"/>
    <w:rsid w:val="00957C13"/>
    <w:rsid w:val="00970035"/>
    <w:rsid w:val="00971D62"/>
    <w:rsid w:val="00972FE7"/>
    <w:rsid w:val="00975715"/>
    <w:rsid w:val="00982D89"/>
    <w:rsid w:val="00983DE8"/>
    <w:rsid w:val="009846F6"/>
    <w:rsid w:val="009966DB"/>
    <w:rsid w:val="009A1CEA"/>
    <w:rsid w:val="009A290F"/>
    <w:rsid w:val="009A646B"/>
    <w:rsid w:val="009A7613"/>
    <w:rsid w:val="009B0B7F"/>
    <w:rsid w:val="009C27F9"/>
    <w:rsid w:val="009D0DCD"/>
    <w:rsid w:val="009D2F00"/>
    <w:rsid w:val="009D4BF9"/>
    <w:rsid w:val="009E4300"/>
    <w:rsid w:val="009E4D20"/>
    <w:rsid w:val="009E7976"/>
    <w:rsid w:val="009F30A9"/>
    <w:rsid w:val="00A0270C"/>
    <w:rsid w:val="00A02DB3"/>
    <w:rsid w:val="00A067A9"/>
    <w:rsid w:val="00A268ED"/>
    <w:rsid w:val="00A30594"/>
    <w:rsid w:val="00A33726"/>
    <w:rsid w:val="00A34A66"/>
    <w:rsid w:val="00A51B11"/>
    <w:rsid w:val="00A66D33"/>
    <w:rsid w:val="00A70A3D"/>
    <w:rsid w:val="00A73044"/>
    <w:rsid w:val="00A7317F"/>
    <w:rsid w:val="00A733E2"/>
    <w:rsid w:val="00A7343B"/>
    <w:rsid w:val="00A905A6"/>
    <w:rsid w:val="00A90874"/>
    <w:rsid w:val="00A95CCD"/>
    <w:rsid w:val="00A976FB"/>
    <w:rsid w:val="00AA0EC2"/>
    <w:rsid w:val="00AA2CB6"/>
    <w:rsid w:val="00AA6E28"/>
    <w:rsid w:val="00AB09BE"/>
    <w:rsid w:val="00AB0A0E"/>
    <w:rsid w:val="00AB1652"/>
    <w:rsid w:val="00AB594C"/>
    <w:rsid w:val="00AB6EFD"/>
    <w:rsid w:val="00AE20D8"/>
    <w:rsid w:val="00AE3D84"/>
    <w:rsid w:val="00AE6829"/>
    <w:rsid w:val="00AE6879"/>
    <w:rsid w:val="00AF1959"/>
    <w:rsid w:val="00AF5083"/>
    <w:rsid w:val="00AF6777"/>
    <w:rsid w:val="00AF6D25"/>
    <w:rsid w:val="00AF7275"/>
    <w:rsid w:val="00AF759D"/>
    <w:rsid w:val="00B012A9"/>
    <w:rsid w:val="00B05036"/>
    <w:rsid w:val="00B05C5B"/>
    <w:rsid w:val="00B12BF4"/>
    <w:rsid w:val="00B130AE"/>
    <w:rsid w:val="00B16846"/>
    <w:rsid w:val="00B210FA"/>
    <w:rsid w:val="00B22580"/>
    <w:rsid w:val="00B314E1"/>
    <w:rsid w:val="00B31A7D"/>
    <w:rsid w:val="00B325DB"/>
    <w:rsid w:val="00B34742"/>
    <w:rsid w:val="00B41D79"/>
    <w:rsid w:val="00B44CB7"/>
    <w:rsid w:val="00B46199"/>
    <w:rsid w:val="00B52C99"/>
    <w:rsid w:val="00B5465F"/>
    <w:rsid w:val="00B56394"/>
    <w:rsid w:val="00B60A92"/>
    <w:rsid w:val="00B67090"/>
    <w:rsid w:val="00B744B7"/>
    <w:rsid w:val="00B74A35"/>
    <w:rsid w:val="00B859B4"/>
    <w:rsid w:val="00B85E35"/>
    <w:rsid w:val="00B910BE"/>
    <w:rsid w:val="00BA155F"/>
    <w:rsid w:val="00BA276B"/>
    <w:rsid w:val="00BA2982"/>
    <w:rsid w:val="00BA2E08"/>
    <w:rsid w:val="00BA33EA"/>
    <w:rsid w:val="00BA5EFD"/>
    <w:rsid w:val="00BA7258"/>
    <w:rsid w:val="00BB3523"/>
    <w:rsid w:val="00BC36EB"/>
    <w:rsid w:val="00BC43BE"/>
    <w:rsid w:val="00BC4CA0"/>
    <w:rsid w:val="00BC5A7F"/>
    <w:rsid w:val="00BC7669"/>
    <w:rsid w:val="00BC7C41"/>
    <w:rsid w:val="00BD0547"/>
    <w:rsid w:val="00BD490C"/>
    <w:rsid w:val="00BD5E81"/>
    <w:rsid w:val="00BE142E"/>
    <w:rsid w:val="00BE7186"/>
    <w:rsid w:val="00BF018A"/>
    <w:rsid w:val="00BF2644"/>
    <w:rsid w:val="00BF445D"/>
    <w:rsid w:val="00BF5E26"/>
    <w:rsid w:val="00BF755E"/>
    <w:rsid w:val="00BF76FB"/>
    <w:rsid w:val="00C002A7"/>
    <w:rsid w:val="00C034AA"/>
    <w:rsid w:val="00C1782E"/>
    <w:rsid w:val="00C211A8"/>
    <w:rsid w:val="00C270F0"/>
    <w:rsid w:val="00C42FEA"/>
    <w:rsid w:val="00C44BC4"/>
    <w:rsid w:val="00C4515C"/>
    <w:rsid w:val="00C47C18"/>
    <w:rsid w:val="00C53AB2"/>
    <w:rsid w:val="00C546F2"/>
    <w:rsid w:val="00C60188"/>
    <w:rsid w:val="00C64946"/>
    <w:rsid w:val="00C72C63"/>
    <w:rsid w:val="00C7330F"/>
    <w:rsid w:val="00C73429"/>
    <w:rsid w:val="00C74CE5"/>
    <w:rsid w:val="00C75A4D"/>
    <w:rsid w:val="00C8131A"/>
    <w:rsid w:val="00C84BA1"/>
    <w:rsid w:val="00C8639D"/>
    <w:rsid w:val="00C906E0"/>
    <w:rsid w:val="00C909A0"/>
    <w:rsid w:val="00C960A4"/>
    <w:rsid w:val="00C975DD"/>
    <w:rsid w:val="00CA0CA3"/>
    <w:rsid w:val="00CA23B0"/>
    <w:rsid w:val="00CB12C9"/>
    <w:rsid w:val="00CC5A9E"/>
    <w:rsid w:val="00CD4A42"/>
    <w:rsid w:val="00CD64F8"/>
    <w:rsid w:val="00CE021A"/>
    <w:rsid w:val="00CE4C0D"/>
    <w:rsid w:val="00CE5DCB"/>
    <w:rsid w:val="00CF043B"/>
    <w:rsid w:val="00CF5F41"/>
    <w:rsid w:val="00D0088C"/>
    <w:rsid w:val="00D00A19"/>
    <w:rsid w:val="00D01345"/>
    <w:rsid w:val="00D05E1B"/>
    <w:rsid w:val="00D11094"/>
    <w:rsid w:val="00D16A2F"/>
    <w:rsid w:val="00D16CEF"/>
    <w:rsid w:val="00D20371"/>
    <w:rsid w:val="00D2165B"/>
    <w:rsid w:val="00D230CC"/>
    <w:rsid w:val="00D23A1D"/>
    <w:rsid w:val="00D243C8"/>
    <w:rsid w:val="00D36F5F"/>
    <w:rsid w:val="00D40F2E"/>
    <w:rsid w:val="00D413EC"/>
    <w:rsid w:val="00D42E6A"/>
    <w:rsid w:val="00D43C5C"/>
    <w:rsid w:val="00D469CE"/>
    <w:rsid w:val="00D472DA"/>
    <w:rsid w:val="00D54556"/>
    <w:rsid w:val="00D57199"/>
    <w:rsid w:val="00D61AFD"/>
    <w:rsid w:val="00D63EEB"/>
    <w:rsid w:val="00D64379"/>
    <w:rsid w:val="00D657BC"/>
    <w:rsid w:val="00D67655"/>
    <w:rsid w:val="00D742E3"/>
    <w:rsid w:val="00D86914"/>
    <w:rsid w:val="00D902AB"/>
    <w:rsid w:val="00D918EF"/>
    <w:rsid w:val="00D9348B"/>
    <w:rsid w:val="00DA0035"/>
    <w:rsid w:val="00DA221E"/>
    <w:rsid w:val="00DA40CD"/>
    <w:rsid w:val="00DB095A"/>
    <w:rsid w:val="00DB5158"/>
    <w:rsid w:val="00DB5977"/>
    <w:rsid w:val="00DB5F04"/>
    <w:rsid w:val="00DC2AD8"/>
    <w:rsid w:val="00DC3576"/>
    <w:rsid w:val="00DC4D03"/>
    <w:rsid w:val="00DD29B3"/>
    <w:rsid w:val="00DD5282"/>
    <w:rsid w:val="00DE1451"/>
    <w:rsid w:val="00DF267A"/>
    <w:rsid w:val="00DF4BD1"/>
    <w:rsid w:val="00E05621"/>
    <w:rsid w:val="00E12BFC"/>
    <w:rsid w:val="00E14827"/>
    <w:rsid w:val="00E15AF4"/>
    <w:rsid w:val="00E217A4"/>
    <w:rsid w:val="00E230EC"/>
    <w:rsid w:val="00E244B6"/>
    <w:rsid w:val="00E2758E"/>
    <w:rsid w:val="00E343EE"/>
    <w:rsid w:val="00E36AFA"/>
    <w:rsid w:val="00E40065"/>
    <w:rsid w:val="00E46E42"/>
    <w:rsid w:val="00E50546"/>
    <w:rsid w:val="00E51CD5"/>
    <w:rsid w:val="00E52AC9"/>
    <w:rsid w:val="00E52DE3"/>
    <w:rsid w:val="00E55974"/>
    <w:rsid w:val="00E61121"/>
    <w:rsid w:val="00E629F0"/>
    <w:rsid w:val="00E63439"/>
    <w:rsid w:val="00E7002B"/>
    <w:rsid w:val="00E72713"/>
    <w:rsid w:val="00E74238"/>
    <w:rsid w:val="00E769ED"/>
    <w:rsid w:val="00E77668"/>
    <w:rsid w:val="00E819F5"/>
    <w:rsid w:val="00E81F7B"/>
    <w:rsid w:val="00E82FB6"/>
    <w:rsid w:val="00E83374"/>
    <w:rsid w:val="00E83687"/>
    <w:rsid w:val="00E87978"/>
    <w:rsid w:val="00E9010C"/>
    <w:rsid w:val="00E914DD"/>
    <w:rsid w:val="00E93AEB"/>
    <w:rsid w:val="00E94AE9"/>
    <w:rsid w:val="00E96AFA"/>
    <w:rsid w:val="00EA25C3"/>
    <w:rsid w:val="00EA2C22"/>
    <w:rsid w:val="00EA3AD1"/>
    <w:rsid w:val="00EA3CF1"/>
    <w:rsid w:val="00EA4A18"/>
    <w:rsid w:val="00EB4CD5"/>
    <w:rsid w:val="00EB50EA"/>
    <w:rsid w:val="00EB7641"/>
    <w:rsid w:val="00EC1944"/>
    <w:rsid w:val="00EC4840"/>
    <w:rsid w:val="00EC5B3C"/>
    <w:rsid w:val="00EC73BC"/>
    <w:rsid w:val="00EC7E98"/>
    <w:rsid w:val="00ED0A0D"/>
    <w:rsid w:val="00ED0AB3"/>
    <w:rsid w:val="00EE23EE"/>
    <w:rsid w:val="00EE3888"/>
    <w:rsid w:val="00EE4FBC"/>
    <w:rsid w:val="00EF2EE1"/>
    <w:rsid w:val="00F01536"/>
    <w:rsid w:val="00F02BCA"/>
    <w:rsid w:val="00F0569C"/>
    <w:rsid w:val="00F07DBF"/>
    <w:rsid w:val="00F132E7"/>
    <w:rsid w:val="00F15084"/>
    <w:rsid w:val="00F177AC"/>
    <w:rsid w:val="00F21587"/>
    <w:rsid w:val="00F25D48"/>
    <w:rsid w:val="00F319D5"/>
    <w:rsid w:val="00F33D96"/>
    <w:rsid w:val="00F37EAB"/>
    <w:rsid w:val="00F4361E"/>
    <w:rsid w:val="00F44642"/>
    <w:rsid w:val="00F45E7C"/>
    <w:rsid w:val="00F4771A"/>
    <w:rsid w:val="00F5022A"/>
    <w:rsid w:val="00F5420D"/>
    <w:rsid w:val="00F55BE3"/>
    <w:rsid w:val="00F64941"/>
    <w:rsid w:val="00F6742F"/>
    <w:rsid w:val="00F7381A"/>
    <w:rsid w:val="00F805E0"/>
    <w:rsid w:val="00F814DE"/>
    <w:rsid w:val="00F81E27"/>
    <w:rsid w:val="00F84332"/>
    <w:rsid w:val="00F94EE8"/>
    <w:rsid w:val="00F95210"/>
    <w:rsid w:val="00F95995"/>
    <w:rsid w:val="00F97277"/>
    <w:rsid w:val="00FA017C"/>
    <w:rsid w:val="00FB0C95"/>
    <w:rsid w:val="00FB75B9"/>
    <w:rsid w:val="00FD3564"/>
    <w:rsid w:val="00FD379F"/>
    <w:rsid w:val="00FD40DE"/>
    <w:rsid w:val="00FD48FE"/>
    <w:rsid w:val="00FE0E81"/>
    <w:rsid w:val="00FE6BFB"/>
    <w:rsid w:val="00FF5801"/>
    <w:rsid w:val="00FF666B"/>
    <w:rsid w:val="00FF722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BC019"/>
  <w15:docId w15:val="{308623A6-3CA6-441E-8BBD-B75900B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paragraph" w:styleId="Listeafsnit">
    <w:name w:val="List Paragraph"/>
    <w:basedOn w:val="Normal"/>
    <w:uiPriority w:val="34"/>
    <w:qFormat/>
    <w:rsid w:val="002A75EC"/>
    <w:pPr>
      <w:spacing w:after="200" w:line="276" w:lineRule="auto"/>
      <w:ind w:left="720"/>
      <w:contextualSpacing/>
    </w:pPr>
    <w:rPr>
      <w:rFonts w:asciiTheme="minorHAnsi" w:hAnsiTheme="minorHAnsi"/>
      <w:spacing w:val="0"/>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05348">
      <w:bodyDiv w:val="1"/>
      <w:marLeft w:val="0"/>
      <w:marRight w:val="0"/>
      <w:marTop w:val="0"/>
      <w:marBottom w:val="0"/>
      <w:divBdr>
        <w:top w:val="none" w:sz="0" w:space="0" w:color="auto"/>
        <w:left w:val="none" w:sz="0" w:space="0" w:color="auto"/>
        <w:bottom w:val="none" w:sz="0" w:space="0" w:color="auto"/>
        <w:right w:val="none" w:sz="0" w:space="0" w:color="auto"/>
      </w:divBdr>
    </w:div>
    <w:div w:id="18544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4</ap:Pages>
  <ap:Words>1291</ap:Words>
  <ap:Characters>7464</ap:Characters>
  <ap:Application>Microsoft Office Word</ap:Application>
  <ap:DocSecurity>0</ap:DocSecurity>
  <ap:Lines>138</ap:Lines>
  <ap:Paragraphs>58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Notat</vt:lpstr>
      <vt:lpstr/>
    </vt:vector>
  </ap:TitlesOfParts>
  <ap:Company/>
  <ap:LinksUpToDate>false</ap:LinksUpToDate>
  <ap:CharactersWithSpaces>8697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Jan Urban Drachmann</dc:creator>
  <cp:lastModifiedBy>Tine Brodin</cp:lastModifiedBy>
  <cp:revision>2</cp:revision>
  <cp:lastPrinted>2024-03-19T09:55:00Z</cp:lastPrinted>
  <dcterms:created xsi:type="dcterms:W3CDTF">2024-07-11T10:34:00Z</dcterms:created>
  <dcterms:modified xsi:type="dcterms:W3CDTF">2024-07-11T10:34:00Z</dcterms:modified>
</cp:coreProperties>
</file>